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48895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84455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4080" w:right="2740" w:hanging="4072"/>
        <w:spacing w:after="0" w:line="327" w:lineRule="auto"/>
        <w:tabs>
          <w:tab w:leader="none" w:pos="49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January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5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980" w:type="dxa"/>
            <w:vAlign w:val="bottom"/>
            <w:gridSpan w:val="4"/>
          </w:tcPr>
          <w:p>
            <w:pPr>
              <w:ind w:left="4140"/>
              <w:spacing w:after="0"/>
              <w:rPr>
                <w:sz w:val="20"/>
                <w:szCs w:val="20"/>
                <w:color w:val="auto"/>
              </w:rPr>
            </w:pPr>
            <w:r>
              <w:rPr>
                <w:rFonts w:ascii="Arial" w:cs="Arial" w:eastAsia="Arial" w:hAnsi="Arial"/>
                <w:sz w:val="16"/>
                <w:szCs w:val="16"/>
                <w:color w:val="auto"/>
              </w:rPr>
              <w:t>For the transition period from</w:t>
            </w:r>
          </w:p>
        </w:tc>
        <w:tc>
          <w:tcPr>
            <w:tcW w:w="540" w:type="dxa"/>
            <w:vAlign w:val="bottom"/>
          </w:tcPr>
          <w:p>
            <w:pPr>
              <w:spacing w:after="0"/>
              <w:rPr>
                <w:sz w:val="20"/>
                <w:szCs w:val="20"/>
                <w:color w:val="auto"/>
              </w:rPr>
            </w:pPr>
            <w:r>
              <w:rPr>
                <w:rFonts w:ascii="Arial" w:cs="Arial" w:eastAsia="Arial" w:hAnsi="Arial"/>
                <w:sz w:val="16"/>
                <w:szCs w:val="16"/>
                <w:color w:val="auto"/>
              </w:rPr>
              <w:t>to</w:t>
            </w: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43"/>
        </w:trPr>
        <w:tc>
          <w:tcPr>
            <w:tcW w:w="6980" w:type="dxa"/>
            <w:vAlign w:val="bottom"/>
            <w:gridSpan w:val="4"/>
          </w:tcPr>
          <w:p>
            <w:pPr>
              <w:jc w:val="center"/>
              <w:ind w:left="4184"/>
              <w:spacing w:after="0"/>
              <w:rPr>
                <w:sz w:val="20"/>
                <w:szCs w:val="20"/>
                <w:color w:val="auto"/>
              </w:rPr>
            </w:pPr>
            <w:r>
              <w:rPr>
                <w:rFonts w:ascii="Arial" w:cs="Arial" w:eastAsia="Arial" w:hAnsi="Arial"/>
                <w:sz w:val="16"/>
                <w:szCs w:val="16"/>
                <w:color w:val="auto"/>
              </w:rPr>
              <w:t>Commission File Number: 001-37493</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70"/>
        </w:trPr>
        <w:tc>
          <w:tcPr>
            <w:tcW w:w="4380" w:type="dxa"/>
            <w:vAlign w:val="bottom"/>
          </w:tcPr>
          <w:p>
            <w:pPr>
              <w:spacing w:after="0"/>
              <w:rPr>
                <w:sz w:val="6"/>
                <w:szCs w:val="6"/>
                <w:color w:val="auto"/>
              </w:rPr>
            </w:pPr>
          </w:p>
        </w:tc>
        <w:tc>
          <w:tcPr>
            <w:tcW w:w="248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540" w:type="dxa"/>
            <w:vAlign w:val="bottom"/>
          </w:tcPr>
          <w:p>
            <w:pPr>
              <w:spacing w:after="0"/>
              <w:rPr>
                <w:sz w:val="6"/>
                <w:szCs w:val="6"/>
                <w:color w:val="auto"/>
              </w:rPr>
            </w:pPr>
          </w:p>
        </w:tc>
      </w:tr>
      <w:tr>
        <w:trPr>
          <w:trHeight w:val="565"/>
        </w:trPr>
        <w:tc>
          <w:tcPr>
            <w:tcW w:w="4380" w:type="dxa"/>
            <w:vAlign w:val="bottom"/>
          </w:tcPr>
          <w:p>
            <w:pPr>
              <w:spacing w:after="0"/>
              <w:rPr>
                <w:sz w:val="24"/>
                <w:szCs w:val="24"/>
                <w:color w:val="auto"/>
              </w:rPr>
            </w:pPr>
          </w:p>
        </w:tc>
        <w:tc>
          <w:tcPr>
            <w:tcW w:w="2600" w:type="dxa"/>
            <w:vAlign w:val="bottom"/>
            <w:gridSpan w:val="3"/>
          </w:tcPr>
          <w:p>
            <w:pPr>
              <w:jc w:val="center"/>
              <w:ind w:right="120"/>
              <w:spacing w:after="0"/>
              <w:rPr>
                <w:sz w:val="20"/>
                <w:szCs w:val="20"/>
                <w:color w:val="auto"/>
              </w:rPr>
            </w:pPr>
            <w:r>
              <w:rPr>
                <w:rFonts w:ascii="Arial" w:cs="Arial" w:eastAsia="Arial" w:hAnsi="Arial"/>
                <w:sz w:val="47"/>
                <w:szCs w:val="47"/>
                <w:b w:val="1"/>
                <w:bCs w:val="1"/>
                <w:color w:val="auto"/>
                <w:w w:val="99"/>
              </w:rPr>
              <w:t>Ooma, Inc.</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90"/>
        </w:trPr>
        <w:tc>
          <w:tcPr>
            <w:tcW w:w="7520" w:type="dxa"/>
            <w:vAlign w:val="bottom"/>
            <w:gridSpan w:val="5"/>
          </w:tcPr>
          <w:p>
            <w:pPr>
              <w:jc w:val="center"/>
              <w:ind w:left="3664"/>
              <w:spacing w:after="0"/>
              <w:rPr>
                <w:sz w:val="20"/>
                <w:szCs w:val="20"/>
                <w:color w:val="auto"/>
              </w:rPr>
            </w:pPr>
            <w:r>
              <w:rPr>
                <w:rFonts w:ascii="Arial" w:cs="Arial" w:eastAsia="Arial" w:hAnsi="Arial"/>
                <w:sz w:val="14"/>
                <w:szCs w:val="14"/>
                <w:color w:val="auto"/>
              </w:rPr>
              <w:t>(Exact name of registrant as specified in charter)</w:t>
            </w:r>
          </w:p>
        </w:tc>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62"/>
        </w:trPr>
        <w:tc>
          <w:tcPr>
            <w:tcW w:w="43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120" w:type="dxa"/>
            <w:vAlign w:val="bottom"/>
            <w:gridSpan w:val="2"/>
          </w:tcPr>
          <w:p>
            <w:pPr>
              <w:spacing w:after="0"/>
              <w:rPr>
                <w:sz w:val="5"/>
                <w:szCs w:val="5"/>
                <w:color w:val="auto"/>
              </w:rPr>
            </w:pPr>
          </w:p>
        </w:tc>
      </w:tr>
      <w:tr>
        <w:trPr>
          <w:trHeight w:val="254"/>
        </w:trPr>
        <w:tc>
          <w:tcPr>
            <w:tcW w:w="4880" w:type="dxa"/>
            <w:vAlign w:val="bottom"/>
            <w:gridSpan w:val="2"/>
          </w:tcPr>
          <w:p>
            <w:pPr>
              <w:jc w:val="center"/>
              <w:ind w:left="684"/>
              <w:spacing w:after="0"/>
              <w:rPr>
                <w:sz w:val="20"/>
                <w:szCs w:val="20"/>
                <w:color w:val="auto"/>
              </w:rPr>
            </w:pPr>
            <w:r>
              <w:rPr>
                <w:rFonts w:ascii="Arial" w:cs="Arial" w:eastAsia="Arial" w:hAnsi="Arial"/>
                <w:sz w:val="18"/>
                <w:szCs w:val="18"/>
                <w:b w:val="1"/>
                <w:bCs w:val="1"/>
                <w:color w:val="auto"/>
              </w:rPr>
              <w:t>Delaware</w:t>
            </w: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120" w:type="dxa"/>
            <w:vAlign w:val="bottom"/>
            <w:gridSpan w:val="2"/>
          </w:tcPr>
          <w:p>
            <w:pPr>
              <w:ind w:left="500"/>
              <w:spacing w:after="0"/>
              <w:rPr>
                <w:sz w:val="20"/>
                <w:szCs w:val="20"/>
                <w:color w:val="auto"/>
              </w:rPr>
            </w:pPr>
            <w:r>
              <w:rPr>
                <w:rFonts w:ascii="Arial" w:cs="Arial" w:eastAsia="Arial" w:hAnsi="Arial"/>
                <w:sz w:val="18"/>
                <w:szCs w:val="18"/>
                <w:b w:val="1"/>
                <w:bCs w:val="1"/>
                <w:color w:val="auto"/>
              </w:rPr>
              <w:t>06-1713274</w:t>
            </w:r>
          </w:p>
        </w:tc>
      </w:tr>
      <w:tr>
        <w:trPr>
          <w:trHeight w:val="190"/>
        </w:trPr>
        <w:tc>
          <w:tcPr>
            <w:tcW w:w="4880" w:type="dxa"/>
            <w:vAlign w:val="bottom"/>
            <w:gridSpan w:val="2"/>
          </w:tcPr>
          <w:p>
            <w:pPr>
              <w:jc w:val="center"/>
              <w:ind w:left="684"/>
              <w:spacing w:after="0"/>
              <w:rPr>
                <w:sz w:val="20"/>
                <w:szCs w:val="20"/>
                <w:color w:val="auto"/>
              </w:rPr>
            </w:pPr>
            <w:r>
              <w:rPr>
                <w:rFonts w:ascii="Arial" w:cs="Arial" w:eastAsia="Arial" w:hAnsi="Arial"/>
                <w:sz w:val="14"/>
                <w:szCs w:val="14"/>
                <w:color w:val="auto"/>
              </w:rPr>
              <w:t>(State or other jurisdiction of incorporation or organization)</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3"/>
          </w:tcPr>
          <w:p>
            <w:pPr>
              <w:ind w:left="400"/>
              <w:spacing w:after="0"/>
              <w:rPr>
                <w:sz w:val="20"/>
                <w:szCs w:val="20"/>
                <w:color w:val="auto"/>
              </w:rPr>
            </w:pPr>
            <w:r>
              <w:rPr>
                <w:rFonts w:ascii="Arial" w:cs="Arial" w:eastAsia="Arial" w:hAnsi="Arial"/>
                <w:sz w:val="14"/>
                <w:szCs w:val="14"/>
                <w:color w:val="auto"/>
              </w:rPr>
              <w:t>(I.R.S. Employer Identification No.)</w:t>
            </w:r>
          </w:p>
        </w:tc>
      </w:tr>
      <w:tr>
        <w:trPr>
          <w:trHeight w:val="282"/>
        </w:trPr>
        <w:tc>
          <w:tcPr>
            <w:tcW w:w="10640" w:type="dxa"/>
            <w:vAlign w:val="bottom"/>
            <w:gridSpan w:val="7"/>
          </w:tcPr>
          <w:p>
            <w:pPr>
              <w:jc w:val="center"/>
              <w:ind w:left="544"/>
              <w:spacing w:after="0"/>
              <w:rPr>
                <w:sz w:val="20"/>
                <w:szCs w:val="20"/>
                <w:color w:val="auto"/>
              </w:rPr>
            </w:pPr>
            <w:r>
              <w:rPr>
                <w:rFonts w:ascii="Arial" w:cs="Arial" w:eastAsia="Arial" w:hAnsi="Arial"/>
                <w:sz w:val="18"/>
                <w:szCs w:val="18"/>
                <w:b w:val="1"/>
                <w:bCs w:val="1"/>
                <w:color w:val="auto"/>
                <w:w w:val="99"/>
              </w:rPr>
              <w:t>525 Almanor Avenue, Suite 200, Sunnyvale, California 94085</w:t>
            </w:r>
          </w:p>
        </w:tc>
      </w:tr>
      <w:tr>
        <w:trPr>
          <w:trHeight w:val="190"/>
        </w:trPr>
        <w:tc>
          <w:tcPr>
            <w:tcW w:w="7520" w:type="dxa"/>
            <w:vAlign w:val="bottom"/>
            <w:gridSpan w:val="5"/>
          </w:tcPr>
          <w:p>
            <w:pPr>
              <w:jc w:val="center"/>
              <w:ind w:left="3644"/>
              <w:spacing w:after="0"/>
              <w:rPr>
                <w:sz w:val="20"/>
                <w:szCs w:val="20"/>
                <w:color w:val="auto"/>
              </w:rPr>
            </w:pPr>
            <w:r>
              <w:rPr>
                <w:rFonts w:ascii="Arial" w:cs="Arial" w:eastAsia="Arial" w:hAnsi="Arial"/>
                <w:sz w:val="14"/>
                <w:szCs w:val="14"/>
                <w:color w:val="auto"/>
              </w:rPr>
              <w:t>(Address of principal executive offices and zip code)</w:t>
            </w:r>
          </w:p>
        </w:tc>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263"/>
        </w:trPr>
        <w:tc>
          <w:tcPr>
            <w:tcW w:w="7520" w:type="dxa"/>
            <w:vAlign w:val="bottom"/>
            <w:gridSpan w:val="5"/>
          </w:tcPr>
          <w:p>
            <w:pPr>
              <w:jc w:val="center"/>
              <w:ind w:left="3644"/>
              <w:spacing w:after="0"/>
              <w:rPr>
                <w:sz w:val="20"/>
                <w:szCs w:val="20"/>
                <w:color w:val="auto"/>
              </w:rPr>
            </w:pPr>
            <w:r>
              <w:rPr>
                <w:rFonts w:ascii="Arial" w:cs="Arial" w:eastAsia="Arial" w:hAnsi="Arial"/>
                <w:sz w:val="14"/>
                <w:szCs w:val="14"/>
                <w:color w:val="auto"/>
              </w:rPr>
              <w:t xml:space="preserve">Registrant’s telephone number </w:t>
            </w:r>
            <w:r>
              <w:rPr>
                <w:rFonts w:ascii="Arial" w:cs="Arial" w:eastAsia="Arial" w:hAnsi="Arial"/>
                <w:sz w:val="17"/>
                <w:szCs w:val="17"/>
                <w:b w:val="1"/>
                <w:bCs w:val="1"/>
                <w:color w:val="auto"/>
              </w:rPr>
              <w:t>(650) 566-6600</w:t>
            </w:r>
          </w:p>
        </w:tc>
        <w:tc>
          <w:tcPr>
            <w:tcW w:w="58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9"/>
        </w:trPr>
        <w:tc>
          <w:tcPr>
            <w:tcW w:w="7520" w:type="dxa"/>
            <w:vAlign w:val="bottom"/>
            <w:gridSpan w:val="5"/>
          </w:tcPr>
          <w:p>
            <w:pPr>
              <w:jc w:val="center"/>
              <w:ind w:left="3664"/>
              <w:spacing w:after="0"/>
              <w:rPr>
                <w:sz w:val="20"/>
                <w:szCs w:val="20"/>
                <w:color w:val="auto"/>
              </w:rPr>
            </w:pPr>
            <w:r>
              <w:rPr>
                <w:rFonts w:ascii="Arial" w:cs="Arial" w:eastAsia="Arial" w:hAnsi="Arial"/>
                <w:sz w:val="14"/>
                <w:szCs w:val="14"/>
                <w:color w:val="auto"/>
              </w:rPr>
              <w:t>Securities registered pursuant to Section 12(b) of the Act:</w:t>
            </w: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4880" w:type="dxa"/>
            <w:vAlign w:val="bottom"/>
            <w:gridSpan w:val="2"/>
          </w:tcPr>
          <w:p>
            <w:pPr>
              <w:jc w:val="center"/>
              <w:ind w:right="526"/>
              <w:spacing w:after="0"/>
              <w:rPr>
                <w:sz w:val="20"/>
                <w:szCs w:val="20"/>
                <w:color w:val="auto"/>
              </w:rPr>
            </w:pPr>
            <w:r>
              <w:rPr>
                <w:rFonts w:ascii="Arial" w:cs="Arial" w:eastAsia="Arial" w:hAnsi="Arial"/>
                <w:sz w:val="14"/>
                <w:szCs w:val="14"/>
                <w:b w:val="1"/>
                <w:bCs w:val="1"/>
                <w:color w:val="auto"/>
              </w:rPr>
              <w:t>Title of each class</w:t>
            </w:r>
          </w:p>
        </w:tc>
        <w:tc>
          <w:tcPr>
            <w:tcW w:w="2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Trading Symbol</w:t>
            </w:r>
          </w:p>
        </w:tc>
        <w:tc>
          <w:tcPr>
            <w:tcW w:w="54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9"/>
        </w:trPr>
        <w:tc>
          <w:tcPr>
            <w:tcW w:w="4880" w:type="dxa"/>
            <w:vAlign w:val="bottom"/>
            <w:gridSpan w:val="2"/>
          </w:tcPr>
          <w:p>
            <w:pPr>
              <w:jc w:val="center"/>
              <w:ind w:right="506"/>
              <w:spacing w:after="0"/>
              <w:rPr>
                <w:sz w:val="20"/>
                <w:szCs w:val="20"/>
                <w:color w:val="auto"/>
              </w:rPr>
            </w:pPr>
            <w:r>
              <w:rPr>
                <w:rFonts w:ascii="Arial" w:cs="Arial" w:eastAsia="Arial" w:hAnsi="Arial"/>
                <w:sz w:val="16"/>
                <w:szCs w:val="16"/>
                <w:color w:val="auto"/>
              </w:rPr>
              <w:t>Common Stock, par value $0.0001</w:t>
            </w:r>
          </w:p>
        </w:tc>
        <w:tc>
          <w:tcPr>
            <w:tcW w:w="2100" w:type="dxa"/>
            <w:vAlign w:val="bottom"/>
            <w:gridSpan w:val="2"/>
          </w:tcPr>
          <w:p>
            <w:pPr>
              <w:jc w:val="center"/>
              <w:ind w:right="640"/>
              <w:spacing w:after="0"/>
              <w:rPr>
                <w:sz w:val="20"/>
                <w:szCs w:val="20"/>
                <w:color w:val="auto"/>
              </w:rPr>
            </w:pPr>
            <w:r>
              <w:rPr>
                <w:rFonts w:ascii="Arial" w:cs="Arial" w:eastAsia="Arial" w:hAnsi="Arial"/>
                <w:sz w:val="16"/>
                <w:szCs w:val="16"/>
                <w:color w:val="auto"/>
              </w:rPr>
              <w:t>OOMA</w:t>
            </w:r>
          </w:p>
        </w:tc>
        <w:tc>
          <w:tcPr>
            <w:tcW w:w="540" w:type="dxa"/>
            <w:vAlign w:val="bottom"/>
          </w:tcPr>
          <w:p>
            <w:pPr>
              <w:spacing w:after="0"/>
              <w:rPr>
                <w:sz w:val="19"/>
                <w:szCs w:val="19"/>
                <w:color w:val="auto"/>
              </w:rPr>
            </w:pPr>
          </w:p>
        </w:tc>
        <w:tc>
          <w:tcPr>
            <w:tcW w:w="3120" w:type="dxa"/>
            <w:vAlign w:val="bottom"/>
            <w:gridSpan w:val="2"/>
          </w:tcPr>
          <w:p>
            <w:pPr>
              <w:ind w:left="500"/>
              <w:spacing w:after="0"/>
              <w:rPr>
                <w:sz w:val="20"/>
                <w:szCs w:val="20"/>
                <w:color w:val="auto"/>
              </w:rPr>
            </w:pPr>
            <w:r>
              <w:rPr>
                <w:rFonts w:ascii="Arial" w:cs="Arial" w:eastAsia="Arial" w:hAnsi="Arial"/>
                <w:sz w:val="16"/>
                <w:szCs w:val="16"/>
                <w:color w:val="auto"/>
              </w:rPr>
              <w:t>The New York Stock Exchange</w:t>
            </w:r>
          </w:p>
        </w:tc>
      </w:tr>
      <w:tr>
        <w:trPr>
          <w:trHeight w:val="332"/>
        </w:trPr>
        <w:tc>
          <w:tcPr>
            <w:tcW w:w="8100" w:type="dxa"/>
            <w:vAlign w:val="bottom"/>
            <w:gridSpan w:val="6"/>
          </w:tcPr>
          <w:p>
            <w:pPr>
              <w:jc w:val="center"/>
              <w:ind w:left="3064"/>
              <w:spacing w:after="0"/>
              <w:rPr>
                <w:sz w:val="20"/>
                <w:szCs w:val="20"/>
                <w:color w:val="auto"/>
              </w:rPr>
            </w:pPr>
            <w:r>
              <w:rPr>
                <w:rFonts w:ascii="Arial" w:cs="Arial" w:eastAsia="Arial" w:hAnsi="Arial"/>
                <w:sz w:val="14"/>
                <w:szCs w:val="14"/>
                <w:color w:val="auto"/>
              </w:rPr>
              <w:t>Securities registered pursuant to Section 12(g) of the Act: None</w:t>
            </w:r>
          </w:p>
        </w:tc>
        <w:tc>
          <w:tcPr>
            <w:tcW w:w="2540" w:type="dxa"/>
            <w:vAlign w:val="bottom"/>
          </w:tcPr>
          <w:p>
            <w:pPr>
              <w:spacing w:after="0"/>
              <w:rPr>
                <w:sz w:val="24"/>
                <w:szCs w:val="24"/>
                <w:color w:val="auto"/>
              </w:rPr>
            </w:pPr>
          </w:p>
        </w:tc>
      </w:tr>
      <w:tr>
        <w:trPr>
          <w:trHeight w:val="228"/>
        </w:trPr>
        <w:tc>
          <w:tcPr>
            <w:tcW w:w="752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58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54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752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  Yes</w:t>
            </w:r>
          </w:p>
        </w:tc>
        <w:tc>
          <w:tcPr>
            <w:tcW w:w="580" w:type="dxa"/>
            <w:vAlign w:val="bottom"/>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5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680" w:val="left"/>
          <w:tab w:leader="none" w:pos="130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0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080"/>
              <w:spacing w:after="0"/>
              <w:rPr>
                <w:sz w:val="20"/>
                <w:szCs w:val="20"/>
                <w:color w:val="auto"/>
              </w:rPr>
            </w:pPr>
            <w:r>
              <w:rPr>
                <w:rFonts w:ascii="Arial" w:cs="Arial" w:eastAsia="Arial" w:hAnsi="Arial"/>
                <w:sz w:val="14"/>
                <w:szCs w:val="14"/>
                <w:color w:val="auto"/>
              </w:rPr>
              <w:t>Accelerated Filer</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23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0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080"/>
              <w:spacing w:after="0"/>
              <w:rPr>
                <w:sz w:val="20"/>
                <w:szCs w:val="20"/>
                <w:color w:val="auto"/>
              </w:rPr>
            </w:pPr>
            <w:r>
              <w:rPr>
                <w:rFonts w:ascii="Arial" w:cs="Arial" w:eastAsia="Arial" w:hAnsi="Arial"/>
                <w:sz w:val="14"/>
                <w:szCs w:val="14"/>
                <w:color w:val="auto"/>
              </w:rPr>
              <w:t>Small reporting company</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2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680" w:type="dxa"/>
            <w:vAlign w:val="bottom"/>
          </w:tcPr>
          <w:p>
            <w:pPr>
              <w:ind w:left="2080"/>
              <w:spacing w:after="0"/>
              <w:rPr>
                <w:sz w:val="20"/>
                <w:szCs w:val="20"/>
                <w:color w:val="auto"/>
              </w:rPr>
            </w:pPr>
            <w:r>
              <w:rPr>
                <w:rFonts w:ascii="Arial" w:cs="Arial" w:eastAsia="Arial" w:hAnsi="Arial"/>
                <w:sz w:val="14"/>
                <w:szCs w:val="14"/>
                <w:color w:val="auto"/>
              </w:rPr>
              <w:t>Emerging growth company</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6"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7400" w:val="left"/>
          <w:tab w:leader="none" w:pos="80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July 30, 2021, the last business day of the registrant’s most recently completed second fiscal quarter, was approximately $408 million, based upon the closing price reported for such date on the New York Stock Exchange.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24.3 million shares of common stock were issued and outstanding as of March 31, 2022.</w:t>
      </w:r>
    </w:p>
    <w:p>
      <w:pPr>
        <w:spacing w:after="0" w:line="5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5" w:lineRule="exact"/>
        <w:rPr>
          <w:sz w:val="24"/>
          <w:szCs w:val="24"/>
          <w:color w:val="auto"/>
        </w:rPr>
      </w:pPr>
    </w:p>
    <w:p>
      <w:pPr>
        <w:ind w:right="140"/>
        <w:spacing w:after="0" w:line="263"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sectPr>
      </w:pPr>
    </w:p>
    <w:bookmarkStart w:id="1" w:name="page2"/>
    <w:bookmarkEnd w:id="1"/>
    <w:p>
      <w:pPr>
        <w:jc w:val="center"/>
        <w:ind w:left="1100"/>
        <w:spacing w:after="0"/>
        <w:rPr>
          <w:sz w:val="20"/>
          <w:szCs w:val="20"/>
          <w:color w:val="auto"/>
        </w:rPr>
      </w:pPr>
      <w:r>
        <w:rPr>
          <w:rFonts w:ascii="Arial" w:cs="Arial" w:eastAsia="Arial" w:hAnsi="Arial"/>
          <w:sz w:val="22"/>
          <w:szCs w:val="22"/>
          <w:b w:val="1"/>
          <w:bCs w:val="1"/>
          <w:color w:val="auto"/>
        </w:rPr>
        <w:t>Ooma, Inc.</w:t>
      </w:r>
    </w:p>
    <w:p>
      <w:pPr>
        <w:spacing w:after="0" w:line="12" w:lineRule="exact"/>
        <w:rPr>
          <w:sz w:val="20"/>
          <w:szCs w:val="20"/>
          <w:color w:val="auto"/>
        </w:rPr>
      </w:pPr>
    </w:p>
    <w:p>
      <w:pPr>
        <w:jc w:val="center"/>
        <w:ind w:left="110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94"/>
        </w:trPr>
        <w:tc>
          <w:tcPr>
            <w:tcW w:w="1260" w:type="dxa"/>
            <w:vAlign w:val="bottom"/>
            <w:gridSpan w:val="3"/>
          </w:tcPr>
          <w:p>
            <w:pPr>
              <w:ind w:left="140"/>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line="195"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140" w:type="dxa"/>
            <w:vAlign w:val="bottom"/>
            <w:gridSpan w:val="19"/>
          </w:tcPr>
          <w:p>
            <w:pPr>
              <w:spacing w:after="0"/>
              <w:rPr>
                <w:sz w:val="16"/>
                <w:szCs w:val="16"/>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1A.</w:t>
            </w:r>
          </w:p>
        </w:tc>
        <w:tc>
          <w:tcPr>
            <w:tcW w:w="888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Unresolved Staff Comments</w:t>
              </w:r>
            </w:hyperlink>
          </w:p>
        </w:tc>
        <w:tc>
          <w:tcPr>
            <w:tcW w:w="6620" w:type="dxa"/>
            <w:vAlign w:val="bottom"/>
            <w:gridSpan w:val="11"/>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2.</w:t>
            </w:r>
          </w:p>
        </w:tc>
        <w:tc>
          <w:tcPr>
            <w:tcW w:w="888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Legal Proceedings</w:t>
              </w:r>
            </w:hyperlink>
          </w:p>
        </w:tc>
        <w:tc>
          <w:tcPr>
            <w:tcW w:w="7380" w:type="dxa"/>
            <w:vAlign w:val="bottom"/>
            <w:gridSpan w:val="14"/>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4.</w:t>
            </w:r>
          </w:p>
        </w:tc>
        <w:tc>
          <w:tcPr>
            <w:tcW w:w="888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r>
      <w:tr>
        <w:trPr>
          <w:trHeight w:val="532"/>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4"/>
        </w:trPr>
        <w:tc>
          <w:tcPr>
            <w:tcW w:w="1260" w:type="dxa"/>
            <w:vAlign w:val="bottom"/>
            <w:gridSpan w:val="3"/>
          </w:tcPr>
          <w:p>
            <w:pPr>
              <w:ind w:left="140"/>
              <w:spacing w:after="0" w:line="204" w:lineRule="exact"/>
              <w:rPr>
                <w:sz w:val="20"/>
                <w:szCs w:val="20"/>
                <w:color w:val="auto"/>
              </w:rPr>
            </w:pPr>
            <w:r>
              <w:rPr>
                <w:rFonts w:ascii="Arial" w:cs="Arial" w:eastAsia="Arial" w:hAnsi="Arial"/>
                <w:sz w:val="18"/>
                <w:szCs w:val="18"/>
                <w:color w:val="auto"/>
              </w:rPr>
              <w:t>Item 5.</w:t>
            </w:r>
          </w:p>
        </w:tc>
        <w:tc>
          <w:tcPr>
            <w:tcW w:w="8880" w:type="dxa"/>
            <w:vAlign w:val="bottom"/>
            <w:tcBorders>
              <w:bottom w:val="single" w:sz="8" w:color="0000EE"/>
            </w:tcBorders>
            <w:gridSpan w:val="20"/>
          </w:tcPr>
          <w:p>
            <w:pPr>
              <w:spacing w:after="0" w:line="204"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Market for Registrant’s Common Equity, Related Stockholder Matters and Issuer Purchases of Equity Securities</w:t>
              </w:r>
            </w:hyperlink>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6.</w:t>
            </w:r>
          </w:p>
        </w:tc>
        <w:tc>
          <w:tcPr>
            <w:tcW w:w="8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[Reserved]</w:t>
              </w:r>
            </w:hyperlink>
          </w:p>
        </w:tc>
        <w:tc>
          <w:tcPr>
            <w:tcW w:w="8000" w:type="dxa"/>
            <w:vAlign w:val="bottom"/>
            <w:gridSpan w:val="17"/>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7.</w:t>
            </w:r>
          </w:p>
        </w:tc>
        <w:tc>
          <w:tcPr>
            <w:tcW w:w="888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7A.</w:t>
            </w:r>
          </w:p>
        </w:tc>
        <w:tc>
          <w:tcPr>
            <w:tcW w:w="4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4"/>
          </w:tcPr>
          <w:p>
            <w:pPr>
              <w:spacing w:after="0"/>
              <w:rPr>
                <w:sz w:val="19"/>
                <w:szCs w:val="19"/>
                <w:color w:val="auto"/>
              </w:rPr>
            </w:pPr>
          </w:p>
        </w:tc>
        <w:tc>
          <w:tcPr>
            <w:tcW w:w="1800" w:type="dxa"/>
            <w:vAlign w:val="bottom"/>
            <w:gridSpan w:val="3"/>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8.</w:t>
            </w:r>
          </w:p>
        </w:tc>
        <w:tc>
          <w:tcPr>
            <w:tcW w:w="888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Financial Statements and Supplementary Data</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Changes in and Disagreements with Accountants on Accounting and Financial Disclosure</w:t>
              </w:r>
            </w:hyperlink>
          </w:p>
        </w:tc>
        <w:tc>
          <w:tcPr>
            <w:tcW w:w="1740" w:type="dxa"/>
            <w:vAlign w:val="bottom"/>
            <w:gridSpan w:val="2"/>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Controls and Procedures</w:t>
              </w:r>
            </w:hyperlink>
          </w:p>
        </w:tc>
        <w:tc>
          <w:tcPr>
            <w:tcW w:w="6880" w:type="dxa"/>
            <w:vAlign w:val="bottom"/>
            <w:gridSpan w:val="12"/>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9B.</w:t>
            </w:r>
          </w:p>
        </w:tc>
        <w:tc>
          <w:tcPr>
            <w:tcW w:w="888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9C.</w:t>
            </w:r>
          </w:p>
        </w:tc>
        <w:tc>
          <w:tcPr>
            <w:tcW w:w="888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Disclosure Regarding Foreign Jurisdictions that Prevent Inspections</w:t>
              </w:r>
            </w:hyperlink>
          </w:p>
        </w:tc>
      </w:tr>
      <w:tr>
        <w:trPr>
          <w:trHeight w:val="532"/>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4"/>
        </w:trPr>
        <w:tc>
          <w:tcPr>
            <w:tcW w:w="1260" w:type="dxa"/>
            <w:vAlign w:val="bottom"/>
            <w:gridSpan w:val="3"/>
          </w:tcPr>
          <w:p>
            <w:pPr>
              <w:ind w:left="140"/>
              <w:spacing w:after="0" w:line="204" w:lineRule="exact"/>
              <w:rPr>
                <w:sz w:val="20"/>
                <w:szCs w:val="20"/>
                <w:color w:val="auto"/>
              </w:rPr>
            </w:pPr>
            <w:r>
              <w:rPr>
                <w:rFonts w:ascii="Arial" w:cs="Arial" w:eastAsia="Arial" w:hAnsi="Arial"/>
                <w:sz w:val="18"/>
                <w:szCs w:val="18"/>
                <w:color w:val="auto"/>
              </w:rPr>
              <w:t>Item 10.</w:t>
            </w:r>
          </w:p>
        </w:tc>
        <w:tc>
          <w:tcPr>
            <w:tcW w:w="8880" w:type="dxa"/>
            <w:vAlign w:val="bottom"/>
            <w:gridSpan w:val="20"/>
          </w:tcPr>
          <w:p>
            <w:pPr>
              <w:spacing w:after="0" w:line="204" w:lineRule="exact"/>
              <w:rPr>
                <w:rFonts w:ascii="Arial" w:cs="Arial" w:eastAsia="Arial" w:hAnsi="Arial"/>
                <w:sz w:val="18"/>
                <w:szCs w:val="18"/>
                <w:color w:val="0000EE"/>
              </w:rPr>
            </w:pPr>
            <w:hyperlink w:anchor="page86">
              <w:r>
                <w:rPr>
                  <w:rFonts w:ascii="Arial" w:cs="Arial" w:eastAsia="Arial" w:hAnsi="Arial"/>
                  <w:sz w:val="18"/>
                  <w:szCs w:val="18"/>
                  <w:color w:val="0000EE"/>
                </w:rPr>
                <w:t>Directors, Executive Officers and Corporate Governance</w:t>
              </w:r>
            </w:hyperlink>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11.</w:t>
            </w:r>
          </w:p>
        </w:tc>
        <w:tc>
          <w:tcPr>
            <w:tcW w:w="2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Executive Compensation</w:t>
              </w:r>
            </w:hyperlink>
          </w:p>
        </w:tc>
        <w:tc>
          <w:tcPr>
            <w:tcW w:w="2500" w:type="dxa"/>
            <w:vAlign w:val="bottom"/>
            <w:tcBorders>
              <w:top w:val="single" w:sz="8" w:color="0000EE"/>
            </w:tcBorders>
            <w:gridSpan w:val="4"/>
          </w:tcPr>
          <w:p>
            <w:pPr>
              <w:spacing w:after="0"/>
              <w:rPr>
                <w:sz w:val="19"/>
                <w:szCs w:val="19"/>
                <w:color w:val="auto"/>
              </w:rPr>
            </w:pPr>
          </w:p>
        </w:tc>
        <w:tc>
          <w:tcPr>
            <w:tcW w:w="4380" w:type="dxa"/>
            <w:vAlign w:val="bottom"/>
            <w:gridSpan w:val="8"/>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Security Ownership of Certain Beneficial Owners and Management and Related Stockholder Matters</w:t>
              </w:r>
            </w:hyperlink>
          </w:p>
        </w:tc>
        <w:tc>
          <w:tcPr>
            <w:tcW w:w="860" w:type="dxa"/>
            <w:vAlign w:val="bottom"/>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Certain Relationships and Related Transactions, and Director Independence</w:t>
              </w:r>
            </w:hyperlink>
          </w:p>
        </w:tc>
        <w:tc>
          <w:tcPr>
            <w:tcW w:w="2800" w:type="dxa"/>
            <w:vAlign w:val="bottom"/>
            <w:gridSpan w:val="4"/>
          </w:tcPr>
          <w:p>
            <w:pPr>
              <w:spacing w:after="0"/>
              <w:rPr>
                <w:sz w:val="19"/>
                <w:szCs w:val="19"/>
                <w:color w:val="auto"/>
              </w:rPr>
            </w:pPr>
          </w:p>
        </w:tc>
      </w:tr>
      <w:tr>
        <w:trPr>
          <w:trHeight w:val="223"/>
        </w:trPr>
        <w:tc>
          <w:tcPr>
            <w:tcW w:w="1260" w:type="dxa"/>
            <w:vAlign w:val="bottom"/>
            <w:gridSpan w:val="3"/>
          </w:tcPr>
          <w:p>
            <w:pPr>
              <w:ind w:left="140"/>
              <w:spacing w:after="0"/>
              <w:rPr>
                <w:sz w:val="20"/>
                <w:szCs w:val="20"/>
                <w:color w:val="auto"/>
              </w:rPr>
            </w:pPr>
            <w:r>
              <w:rPr>
                <w:rFonts w:ascii="Arial" w:cs="Arial" w:eastAsia="Arial" w:hAnsi="Arial"/>
                <w:sz w:val="18"/>
                <w:szCs w:val="18"/>
                <w:color w:val="auto"/>
              </w:rPr>
              <w:t>Item 14.</w:t>
            </w:r>
          </w:p>
        </w:tc>
        <w:tc>
          <w:tcPr>
            <w:tcW w:w="888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r>
      <w:tr>
        <w:trPr>
          <w:trHeight w:val="532"/>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4"/>
        </w:trPr>
        <w:tc>
          <w:tcPr>
            <w:tcW w:w="1260" w:type="dxa"/>
            <w:vAlign w:val="bottom"/>
            <w:gridSpan w:val="3"/>
          </w:tcPr>
          <w:p>
            <w:pPr>
              <w:ind w:left="140"/>
              <w:spacing w:after="0" w:line="204" w:lineRule="exact"/>
              <w:rPr>
                <w:sz w:val="20"/>
                <w:szCs w:val="20"/>
                <w:color w:val="auto"/>
              </w:rPr>
            </w:pPr>
            <w:r>
              <w:rPr>
                <w:rFonts w:ascii="Arial" w:cs="Arial" w:eastAsia="Arial" w:hAnsi="Arial"/>
                <w:sz w:val="18"/>
                <w:szCs w:val="18"/>
                <w:color w:val="auto"/>
              </w:rPr>
              <w:t>Item 15.</w:t>
            </w:r>
          </w:p>
        </w:tc>
        <w:tc>
          <w:tcPr>
            <w:tcW w:w="8880" w:type="dxa"/>
            <w:vAlign w:val="bottom"/>
            <w:gridSpan w:val="20"/>
          </w:tcPr>
          <w:p>
            <w:pPr>
              <w:spacing w:after="0" w:line="204" w:lineRule="exact"/>
              <w:rPr>
                <w:rFonts w:ascii="Arial" w:cs="Arial" w:eastAsia="Arial" w:hAnsi="Arial"/>
                <w:sz w:val="18"/>
                <w:szCs w:val="18"/>
                <w:color w:val="0000EE"/>
              </w:rPr>
            </w:pPr>
            <w:hyperlink w:anchor="page87">
              <w:r>
                <w:rPr>
                  <w:rFonts w:ascii="Arial" w:cs="Arial" w:eastAsia="Arial" w:hAnsi="Arial"/>
                  <w:sz w:val="18"/>
                  <w:szCs w:val="18"/>
                  <w:color w:val="0000EE"/>
                </w:rPr>
                <w:t>Exhibits, Financial Statement Schedules</w:t>
              </w:r>
            </w:hyperlink>
          </w:p>
        </w:tc>
      </w:tr>
      <w:tr>
        <w:trPr>
          <w:trHeight w:val="223"/>
        </w:trPr>
        <w:tc>
          <w:tcPr>
            <w:tcW w:w="640" w:type="dxa"/>
            <w:vAlign w:val="bottom"/>
            <w:tcBorders>
              <w:bottom w:val="single" w:sz="8" w:color="0000EE"/>
            </w:tcBorders>
          </w:tcPr>
          <w:p>
            <w:pPr>
              <w:spacing w:after="0"/>
              <w:rPr>
                <w:rFonts w:ascii="Arial" w:cs="Arial" w:eastAsia="Arial" w:hAnsi="Arial"/>
                <w:sz w:val="18"/>
                <w:szCs w:val="18"/>
                <w:color w:val="0000EE"/>
                <w:w w:val="98"/>
              </w:rPr>
            </w:pPr>
            <w:hyperlink w:anchor="page88">
              <w:r>
                <w:rPr>
                  <w:rFonts w:ascii="Arial" w:cs="Arial" w:eastAsia="Arial" w:hAnsi="Arial"/>
                  <w:sz w:val="18"/>
                  <w:szCs w:val="18"/>
                  <w:color w:val="0000EE"/>
                  <w:w w:val="98"/>
                </w:rPr>
                <w:t>Exhibits</w:t>
              </w:r>
            </w:hyperlink>
          </w:p>
        </w:tc>
        <w:tc>
          <w:tcPr>
            <w:tcW w:w="620" w:type="dxa"/>
            <w:vAlign w:val="bottom"/>
            <w:gridSpan w:val="2"/>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9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1260" w:type="dxa"/>
            <w:vAlign w:val="bottom"/>
            <w:gridSpan w:val="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ectPr>
          <w:pgSz w:w="11900" w:h="16838" w:orient="portrait"/>
          <w:cols w:equalWidth="0" w:num="2">
            <w:col w:w="10140" w:space="600"/>
            <w:col w:w="480"/>
          </w:cols>
          <w:pgMar w:left="320" w:top="11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Annual Report on Form 10-K for the fiscal year ended January 31, 2022 (“Form 10-K”) contains forward-looking statements within the meaning of Section 27A of the Securities Act of 1933, as amended (the “Securities Act”), and Section 21E of the Securities Exchange Act of 1934, as amended (the “Exchange Act”). The words “believe,” “will,” “may,” “estimate,” “continue,” “anticipate,” “intend,” “should,” “plan,” “expect,” “predict,” “could,” “potentially” and variations of such words and similar expressions are intended to identify such forward-looking statements, which may include, but are not limited to, statements concerning the following:</w:t>
      </w:r>
    </w:p>
    <w:p>
      <w:pPr>
        <w:spacing w:after="0" w:line="14"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trends in revenue, cost of revenue, operating expenses and income taxes;</w:t>
      </w:r>
    </w:p>
    <w:p>
      <w:pPr>
        <w:spacing w:after="0" w:line="4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of the size of our market opportunity and forecasts of market growth;</w:t>
      </w:r>
    </w:p>
    <w:p>
      <w:pPr>
        <w:spacing w:after="0" w:line="75" w:lineRule="exact"/>
        <w:rPr>
          <w:rFonts w:ascii="Times New Roman" w:cs="Times New Roman" w:eastAsia="Times New Roman" w:hAnsi="Times New Roman"/>
          <w:sz w:val="18"/>
          <w:szCs w:val="18"/>
          <w:color w:val="auto"/>
        </w:rPr>
      </w:pPr>
    </w:p>
    <w:p>
      <w:pPr>
        <w:ind w:left="500" w:right="20" w:hanging="492"/>
        <w:spacing w:after="0" w:line="270" w:lineRule="auto"/>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launch or acquire new products and services, improve our existing products and services, manage our supply chain, and increase the value of our products and services;</w:t>
      </w:r>
    </w:p>
    <w:p>
      <w:pPr>
        <w:spacing w:after="0" w:line="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business resulting from increased competition or changes in market trends;</w:t>
      </w:r>
    </w:p>
    <w:p>
      <w:pPr>
        <w:spacing w:after="0" w:line="75" w:lineRule="exact"/>
        <w:rPr>
          <w:rFonts w:ascii="Times New Roman" w:cs="Times New Roman" w:eastAsia="Times New Roman" w:hAnsi="Times New Roman"/>
          <w:sz w:val="18"/>
          <w:szCs w:val="18"/>
          <w:color w:val="auto"/>
        </w:rPr>
      </w:pPr>
    </w:p>
    <w:p>
      <w:pPr>
        <w:ind w:left="500" w:hanging="492"/>
        <w:spacing w:after="0" w:line="270" w:lineRule="auto"/>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increase our revenue and our revenue growth rate, anticipate demand for our products, and effectively manage our future growth;</w:t>
      </w:r>
    </w:p>
    <w:p>
      <w:pPr>
        <w:spacing w:after="0" w:line="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maintain our relationships with our key retailers and resellers;</w:t>
      </w:r>
    </w:p>
    <w:p>
      <w:pPr>
        <w:spacing w:after="0" w:line="75" w:lineRule="exact"/>
        <w:rPr>
          <w:rFonts w:ascii="Times New Roman" w:cs="Times New Roman" w:eastAsia="Times New Roman" w:hAnsi="Times New Roman"/>
          <w:sz w:val="18"/>
          <w:szCs w:val="18"/>
          <w:color w:val="auto"/>
        </w:rPr>
      </w:pPr>
    </w:p>
    <w:p>
      <w:pPr>
        <w:ind w:left="500" w:hanging="492"/>
        <w:spacing w:after="0" w:line="270" w:lineRule="auto"/>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customers, including our ability to maintain adequate customer care and manage increases in our churn rate;</w:t>
      </w:r>
    </w:p>
    <w:p>
      <w:pPr>
        <w:spacing w:after="0" w:line="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improve local number portability provisioning and obtain direct inward dialing numbers;</w:t>
      </w:r>
    </w:p>
    <w:p>
      <w:pPr>
        <w:spacing w:after="0" w:line="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regulation, including compliance with regulatory requirements and changes in market rules, rates and tariffs;</w:t>
      </w:r>
    </w:p>
    <w:p>
      <w:pPr>
        <w:spacing w:after="0" w:line="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comply with applicable FCC regulations, including those regarding E-911 services;</w:t>
      </w:r>
    </w:p>
    <w:p>
      <w:pPr>
        <w:spacing w:after="0" w:line="75" w:lineRule="exact"/>
        <w:rPr>
          <w:rFonts w:ascii="Times New Roman" w:cs="Times New Roman" w:eastAsia="Times New Roman" w:hAnsi="Times New Roman"/>
          <w:sz w:val="18"/>
          <w:szCs w:val="18"/>
          <w:color w:val="auto"/>
        </w:rPr>
      </w:pPr>
    </w:p>
    <w:p>
      <w:pPr>
        <w:ind w:left="500" w:hanging="492"/>
        <w:spacing w:after="0" w:line="270" w:lineRule="auto"/>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regulation of our services and the imposition of federal, state and municipal sales and use taxes, fees or surcharges on our services;</w:t>
      </w:r>
    </w:p>
    <w:p>
      <w:pPr>
        <w:spacing w:after="0" w:line="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industry trends on our results of operations;</w:t>
      </w:r>
    </w:p>
    <w:p>
      <w:pPr>
        <w:spacing w:after="0" w:line="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server or system failures that could affect the quality or disrupt the services we provide and our ability to maintain data security;</w:t>
      </w:r>
    </w:p>
    <w:p>
      <w:pPr>
        <w:spacing w:after="0" w:line="75" w:lineRule="exact"/>
        <w:rPr>
          <w:rFonts w:ascii="Times New Roman" w:cs="Times New Roman" w:eastAsia="Times New Roman" w:hAnsi="Times New Roman"/>
          <w:sz w:val="18"/>
          <w:szCs w:val="18"/>
          <w:color w:val="auto"/>
        </w:rPr>
      </w:pPr>
    </w:p>
    <w:p>
      <w:pPr>
        <w:ind w:left="500" w:hanging="492"/>
        <w:spacing w:after="0" w:line="270" w:lineRule="auto"/>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borrow additional funds and access capital markets, as well as our ability to comply with the terms of our indebtedness and the possibility that we may incur additional indebtedness in the future;</w:t>
      </w:r>
    </w:p>
    <w:p>
      <w:pPr>
        <w:spacing w:after="0" w:line="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differences between our services, including emergency calling, compared to traditional phone services;</w:t>
      </w:r>
    </w:p>
    <w:p>
      <w:pPr>
        <w:spacing w:after="0" w:line="75" w:lineRule="exact"/>
        <w:rPr>
          <w:rFonts w:ascii="Times New Roman" w:cs="Times New Roman" w:eastAsia="Times New Roman" w:hAnsi="Times New Roman"/>
          <w:sz w:val="18"/>
          <w:szCs w:val="18"/>
          <w:color w:val="auto"/>
        </w:rPr>
      </w:pPr>
    </w:p>
    <w:p>
      <w:pPr>
        <w:ind w:left="500" w:right="20" w:hanging="492"/>
        <w:spacing w:after="0" w:line="270" w:lineRule="auto"/>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cash, cash equivalents and short-term investments to meet our working capital and capital expenditure requirements;</w:t>
      </w:r>
    </w:p>
    <w:p>
      <w:pPr>
        <w:spacing w:after="0" w:line="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enter new markets, manage our international expansion, and identify, evaluate and consummate acquisitions;</w:t>
      </w:r>
    </w:p>
    <w:p>
      <w:pPr>
        <w:spacing w:after="0" w:line="87" w:lineRule="exact"/>
        <w:rPr>
          <w:rFonts w:ascii="Times New Roman" w:cs="Times New Roman" w:eastAsia="Times New Roman" w:hAnsi="Times New Roman"/>
          <w:sz w:val="17"/>
          <w:szCs w:val="17"/>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trading prices of our common stock; and</w:t>
      </w:r>
    </w:p>
    <w:p>
      <w:pPr>
        <w:spacing w:after="0" w:line="4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 factors included under the section titled “Risk Factors”</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should not rely upon forward-looking statements as predictions of future events. Such statements are based on management’s expectations as of the date of this filing and involve many risks and uncertainties that could cause our actual results, events or circumstances to differ materially from those expressed or implied in our forward-looking statements. Such risks and uncertainties include those described throughout this report and particularly in the sections entitled “Risk Factors” and “Management’s Discussion and Analysis of Financial Condition and Results of Operations.” Given these risks and uncertainties, readers are cautioned not to place undue reliance on such forward-looking statements. Readers are urged to carefully review and consider all of the information in this Form 10-K and in other documents we file from time to time with the Securities and Exchange Commission (“SEC”). We undertake no obligation to update any forward-looking statements made in this Form 10-K to reflect events or circumstances after the date of this filing or to reflect new information or the occurrence of unanticipated events, except as required by law.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we use the terms “Ooma,” the “Company,” “we,” “us” or “our” in this report, we are referring to Ooma, Inc. and its consolidated subsidiaries unless the context requires otherwise. Ooma, Ooma Premier, Ooma Telo, Ooma Office, Ooma Home, Broadsmart, Talkatone and the Ooma logo referred to or displayed herein are trademarks of Ooma, Inc. and its consolidated subsidiaries. All other company and product names referred to herein may be trademarks of the respective companies with which they are associated.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003A5D"/>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46"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Ooma provides leading communications services and related technologies that bring unique features, ease of use, and affordability to businesses of all sizes and residential customers through our smart software-as-a-service (“SaaS”) and unified communications platforms. For businesses, we deliver advanced voice and collaboration features including messaging, intelligent virtual attendants, and video conferencing to help them run more efficiently. For consumers, our residential phone service provides PureVoice high-definition voice quality, advanced functionality and integration with mobile devices.</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drive the adoption of our platforms by providing communications solutions to the large and growing markets for business, residential and mobile users, and then facilitate growth by offering new and innovative connected services to our user base. Our customers typically adopt our platforms by making a purchase or rental of our on-premise devices, connecting to the internet and activating services, for which they primarily pay on a monthly basis. We believe we have achieved high levels of customer satisfaction, retention and loyalty. Our business and residential phone service solutions are each top-ranked by our customers according to surveys by PC Mag and Consumer Reports, respectively.</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services rely upon the following main elements: our multi-tenant cloud service, on-premise devices, desktop and mobile applications, end-point devices and calling platform. Ooma’s cloud provides a high-quality, secure, managed and reliable connection integrating every element of our platforms. Our platforms power all aspects of our business, providing a high-volume, low-cost infrastructure for our communications solutions, and enabling a number of other current and future productivity, automation, monitoring, safety, security and networking infrastructure applications and services.</w:t>
      </w:r>
    </w:p>
    <w:p>
      <w:pPr>
        <w:spacing w:after="0" w:line="6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generate revenues primarily from the sale of subscriptions and other services for our business and residential communications solutions. We primarily offer our solutions in the U.S. and Canada. We believe that our differentiated solutions and our long-term customer relationships uniquely position us to add new connected services and exploit adjacent markets. We believe that our platforms are particularly well-suited to enable the delivery of connected services because they are always on, monitored and interactive.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experienced strong revenue growth in recent periods. Our total revenue was $192.3 million, $168.9 million and $151.6 million in fiscal 2022, 2021 and 2020, respectively. We have grown our combined Ooma Business and Ooma Residential core users to approximately 1,100,000 as of January 31, 2022. See “Item 7. Management’s Discussion and Analysis of Financial Condition and Results of Operations” below for additional information.</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were incorporated in 2003 as a Delaware corporation and our stock is listed on the New York Stock Exchange under the symbol “OOMA.” Our corporate headquarters are located in Sunnyvale, California. Our primary website address is www.ooma.com.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003A5D"/>
        </w:rPr>
        <w:t>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Ooma Business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mission is providing business communications services that are simple, easy to use, and deliver excellent value to small, medium-sized and large companies. We offer a range of solutions to fit each business’ needs, along with personalized support to resolve any issues in deploying and maintaining Ooma services. We refer to Ooma Office and Ooma Enterprise collectively as Ooma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Ooma Office</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Ooma Office </w:t>
      </w:r>
      <w:r>
        <w:rPr>
          <w:rFonts w:ascii="Arial" w:cs="Arial" w:eastAsia="Arial" w:hAnsi="Arial"/>
          <w:sz w:val="18"/>
          <w:szCs w:val="18"/>
          <w:color w:val="auto"/>
        </w:rPr>
        <w:t>is a cloud-based multi-user communications system for small and medium-sized businesses designed to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in and out of the office with a suite of powerful features at an affordable price. Ooma Office is simple and intuitive to setup and use, mobile-friendly, scalable, and provides a variety of configurations to meet our customers’ specific needs. Customers have their choice of equipment for voice service, including IP phones, smartphones, PCs and traditional analog phones. Ooma Office provides a curated set of advanced features, managed through an online portal, including a virtual receptionist, SMS and MMS messaging, extension dialing, ring groups, call park, audio conferencing, music-on-hold, intercom/paging, and voicemail forwarding to e-mail. The Ooma Office mobile app allows virtual deployment without hardware, so users can make, receive and transfer phone calls, listen to voicemails, text, and manage their Ooma account on the go from any iOS or Android device.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Ooma Office Pro </w:t>
      </w:r>
      <w:r>
        <w:rPr>
          <w:rFonts w:ascii="Arial" w:cs="Arial" w:eastAsia="Arial" w:hAnsi="Arial"/>
          <w:sz w:val="18"/>
          <w:szCs w:val="18"/>
          <w:color w:val="auto"/>
        </w:rPr>
        <w:t>provides a set of additional features that are designed for businesses whose needs are above and beyond our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Ooma Office service, including: HD video conferencing (Ooma Meetings), call recording, call analytics, caller info match, enhanced robocall blocking, voicemail transcription, and integrations with Google Workspace and Microsoft 365 applications. The Office desktop app for Pro users conveniently enables users to have their complete business communications system on their PCs and Macs to make and receive calls, host and join video meetings, use SMS and MMS messaging, access company directories, access in-depth caller profiles for both inbound and outbound calls, and other capabilities. The app works anywhere the computer has an internet connection, keeping employees and teams connected while working from home, on the road, or in the office.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also offer the following additional services to our Ooma Office customers: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Ooma Connect </w:t>
      </w:r>
      <w:r>
        <w:rPr>
          <w:rFonts w:ascii="Arial" w:cs="Arial" w:eastAsia="Arial" w:hAnsi="Arial"/>
          <w:sz w:val="18"/>
          <w:szCs w:val="18"/>
          <w:color w:val="auto"/>
        </w:rPr>
        <w:t>delivers fixed wireless internet connectivity to replace or back-up slow and costly DSL, satellite, and cable services.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consists of the Ooma Connect Base Station and the cellular antenna, which provides wireless internet through a nationwide advanced cellular network. Our Continuous Voice technology for internet back-up improves call quality by sending redundant voice streams across both the primary and wireless Internet link.</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Ooma Managed Wi-Fi </w:t>
      </w:r>
      <w:r>
        <w:rPr>
          <w:rFonts w:ascii="Arial" w:cs="Arial" w:eastAsia="Arial" w:hAnsi="Arial"/>
          <w:sz w:val="18"/>
          <w:szCs w:val="18"/>
          <w:color w:val="auto"/>
        </w:rPr>
        <w:t>is a plug-and-play enterprise-grade Wi-Fi solution that is designed to take the complexity and high cost out of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for small and medium-sized businesses. Ooma Wi-Fi enables businesses in industries such as retail, restaurant, and hospitality to support Wi-Fi IP phones on Ooma Office, Wi-Fi access for guests, and securely connect online payment systems and cloud-based applications, such as Microsoft Office, Google Workspace or CRM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Ooma Enterprise</w:t>
      </w:r>
    </w:p>
    <w:p>
      <w:pPr>
        <w:spacing w:after="0" w:line="10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Ooma Enterprise is a highly customizable, flexible, and scalable unified-communications-as-a-service (“UCaaS”) solution that complements Ooma Office and allows us to meet the needs of organizations of all sizes. Telecommunications and networking services available through Ooma Enterprise include mobile and softphone telephony, presence and instant messaging, multiparty audio, video and web conferencing, and call center capabilities with full Application Programming Interface (“API”) support.</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enterprise UCaaS platform enables easy drag-and-drop call flow management, using modular applications that can be selectively enabled to suit customer needs. Some of these applications include WebRTC, Call Center, Mobile and Desktop applications, Team Chat, and a distinctive reporting portal for end users and administrators. Additionally, for our call center customers, we offer agents and call center managers the ability to visualize their performance through their day or over time with custom reporting solutions. Our global cloud-based network provides business-class security, redundancy, and failover, as well as uniquely routes calls through the shortest path to provide the highest voice quality.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type w:val="continuous"/>
        </w:sectPr>
      </w:pPr>
    </w:p>
    <w:bookmarkStart w:id="5" w:name="page6"/>
    <w:bookmarkEnd w:id="5"/>
    <w:p>
      <w:pPr>
        <w:jc w:val="both"/>
        <w:spacing w:after="0" w:line="247" w:lineRule="auto"/>
        <w:rPr>
          <w:sz w:val="20"/>
          <w:szCs w:val="20"/>
          <w:color w:val="auto"/>
        </w:rPr>
      </w:pPr>
      <w:r>
        <w:rPr>
          <w:rFonts w:ascii="Arial" w:cs="Arial" w:eastAsia="Arial" w:hAnsi="Arial"/>
          <w:sz w:val="18"/>
          <w:szCs w:val="18"/>
          <w:color w:val="auto"/>
        </w:rPr>
        <w:t>Our platform is built on an open API architecture that enables agility, customizations, and integrations into back-end solutions such as CRM, predictive analytics, accounting and customer renewal systems, either internally or via third party developers. This gives Ooma Enterprise customers the ability to streamline business processes and ensure their customers are serviced faster, boosting satisfaction, repeat orders, referrals, and revenues in addition to enabling their users to improve productivity.</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we offer Ooma Direct Routing for Microsoft Teams. Through our global network, every device enabled with the Teams app – desktops, laptops, smart phones and tablets – becomes a fully functional business phone that connects Teams users to external phone 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Ooma AirDial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November 2021, we announced Ooma AirDial, a complete integrated solution for business intended to address the expected decommissioning of legacy copper-wire analog phone service, also known as plain old telephone service (“POTS”). Ooma AirDial will combine phone service, a data connection and hardware in a single package that is designed to be easy to install and manage. Safety and business-critical systems that today require a POTS line – including elevator phones, fax machines, public safety phones, building access systems and more – can be quickly and easily migrated to a digital connection. We commenced selling AirDial during the first quarter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003A5D"/>
        </w:rPr>
        <w:t>Ooma Residential</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Ooma Residential includes Ooma Telo basic and premier services as well as our smart security solutions. Our residential phone service provides PureVoice HD voice quality, advanced functionality and integration with mobile devices. Overall, our residential platform enables an ecosystem for connected services by integrating with other automation solutions to enable innovative and valuable features.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Home Phone Services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Ooma Basic </w:t>
      </w:r>
      <w:r>
        <w:rPr>
          <w:rFonts w:ascii="Arial" w:cs="Arial" w:eastAsia="Arial" w:hAnsi="Arial"/>
          <w:sz w:val="18"/>
          <w:szCs w:val="18"/>
          <w:color w:val="auto"/>
        </w:rPr>
        <w:t>provides unlimited personal calling within the U.S. and features such as: voicemail access, call waiting, caller ID,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book and 911 calling, with text alerts when 911 is dialed from the home. Our Ooma Mobile HD app allows users to make and receive phone calls and access Ooma features and settings with any iOS or Android device over a Wi-Fi or cellular data connection. The app includes unlimited mobile domestic calls, subject to normal residential usage limitations, and enables users to make international calls on their mobile devices using Ooma’s low-cost international calling plan.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Ooma Premier </w:t>
      </w:r>
      <w:r>
        <w:rPr>
          <w:rFonts w:ascii="Arial" w:cs="Arial" w:eastAsia="Arial" w:hAnsi="Arial"/>
          <w:sz w:val="18"/>
          <w:szCs w:val="18"/>
          <w:color w:val="auto"/>
        </w:rPr>
        <w:t>offers a suite of advanced calling features on a monthly or annual subscription basis, including: custom and anonymous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blocking, receiving incoming calls on the Ooma Mobile App, call forwarding, three-way conference calling, backup number, and integration with a variety of devices and services to enable new functionality and automation, such as Google Voice, Dropbox and Amazon Alexa. We also offer other premium subscription services to our customers, independent of Ooma Premier, including an international calling plan and voicemail transcription service.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Home Phone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offer three ways to connect to our residential phone services: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Ooma Telo </w:t>
      </w:r>
      <w:r>
        <w:rPr>
          <w:rFonts w:ascii="Arial" w:cs="Arial" w:eastAsia="Arial" w:hAnsi="Arial"/>
          <w:sz w:val="18"/>
          <w:szCs w:val="18"/>
          <w:color w:val="auto"/>
        </w:rPr>
        <w:t>is a complete home communications solution designed to serve as the primary phone line in the home, delivering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voice communications, advanced calling features and connected services that are not offered by traditional landlines. Users make a one-time purchase of an Ooma Telo and plug it into a high-speed internet connection and standard home phone devices. Users have the option to transfer their existing phone number for a one-time fee or to select a new number at no cost. Once set up, users have access to free nationwide calling, international calling with low rates and the features described above.</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Ooma Telo Air </w:t>
      </w:r>
      <w:r>
        <w:rPr>
          <w:rFonts w:ascii="Arial" w:cs="Arial" w:eastAsia="Arial" w:hAnsi="Arial"/>
          <w:sz w:val="18"/>
          <w:szCs w:val="18"/>
          <w:color w:val="auto"/>
        </w:rPr>
        <w:t>is a wireless Ooma Telo with built-in Wi-Fi and Bluetooth capabilities that connects to the internet using the home’s Wi-Fi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and can be paired with mobile phones to answer incoming calls from any phone in the home.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Ooma Telo 4G </w:t>
      </w:r>
      <w:r>
        <w:rPr>
          <w:rFonts w:ascii="Arial" w:cs="Arial" w:eastAsia="Arial" w:hAnsi="Arial"/>
          <w:sz w:val="18"/>
          <w:szCs w:val="18"/>
          <w:color w:val="auto"/>
        </w:rPr>
        <w:t>combines the Ooma Telo base station with the Ooma 4G Cellular Adapter and battery back-up to deliver an always-on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phone solution with all of the advanced features provided by our unique cloud-based residential platform.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Home Security</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Ooma Smart Security is an innovative security and monitoring platform that utilizes our Ooma Telo products to provide do-it-yourself home security and awareness through a range of sensors including: door and window, motion, garage door, water, alarm siren, and a keypad that acts as a physical control panel for the security system. Ooma Smart Security also offers professional monitoring services, remote 911 features and multi-user geofencing capabilities to automatically arm and disarm the security system. The Ooma Smart Security mobile app for iOS and Android is the interface through which users interact with the system to pair sensors, toggle between home and away modes, check activity logs and manage and receive notifications.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Talkatone</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Talkatone mobile app is available to anyone with an iOS or Android mobile device and can be downloaded from the Apple App Store or Google Play for free. Registered users choose their own phone number to make and receive free texts and calls to most U.S. and Canadian numbers using a Wi-Fi or cellular data connection within and out-of-network. Talkatone also enables users to call, text, chat and share with friends and family that do not have the app installed. Advertising is displayed within the mobile app and users can choose to purchase premium services such as ad-free usage and international calling plans.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29"/>
          <w:szCs w:val="29"/>
          <w:b w:val="1"/>
          <w:bCs w:val="1"/>
          <w:color w:val="003A5D"/>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sales and marketing objective is to grow our customer base and sell to our existing customers additional services using an integrated and multi-channel marketing approach. We continually test and refine our marketing and sales tactics to drive sales at a low customer acquisition cost.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Marketing and Advertising</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03A5D"/>
        </w:rPr>
        <w:t xml:space="preserve">Online. </w:t>
      </w:r>
      <w:r>
        <w:rPr>
          <w:rFonts w:ascii="Arial" w:cs="Arial" w:eastAsia="Arial" w:hAnsi="Arial"/>
          <w:sz w:val="18"/>
          <w:szCs w:val="18"/>
          <w:color w:val="000000"/>
        </w:rPr>
        <w:t>We use online marketing including search engine marketing, search engine optimization, online video, digital display advertising and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social media to attract customers as they do online research for the products and services we offer. We continue to reach out to our prospect leads over time using e-mail and telemarketing until they purchase or the lead is retired.</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003A5D"/>
        </w:rPr>
        <w:t xml:space="preserve">Traditional. </w:t>
      </w:r>
      <w:r>
        <w:rPr>
          <w:rFonts w:ascii="Arial" w:cs="Arial" w:eastAsia="Arial" w:hAnsi="Arial"/>
          <w:sz w:val="18"/>
          <w:szCs w:val="18"/>
          <w:color w:val="000000"/>
        </w:rPr>
        <w:t>We use radio advertising to build awareness and interest for our products and services, which benefits both Ooma Business and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Ooma Residential. We believe that radio advertising provides an opportunity to build the Ooma brand cost-effectively, educate prospects on Ooma’s unique combination of quality and value, and capture prospects’ attention. Businesses and consumers who hear our ads are directed to our web site, our inbound sales personnel, and/or to key retail partners.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03A5D"/>
        </w:rPr>
        <w:t xml:space="preserve">Word-of-mouth. </w:t>
      </w:r>
      <w:r>
        <w:rPr>
          <w:rFonts w:ascii="Arial" w:cs="Arial" w:eastAsia="Arial" w:hAnsi="Arial"/>
          <w:sz w:val="18"/>
          <w:szCs w:val="18"/>
          <w:color w:val="000000"/>
        </w:rPr>
        <w:t>We actively mobilize our customers and brand advocates to spread word-of-mouth marketing by sharing Ooma news and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information through social media and e-mail. We sell additional services to our existing customer base by offering free trials and promotional offers, as well as sending e-mail communications and leaving messages on their Ooma voicemail service.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Sales, Customers and Backlog</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business and residential products are sold through direct channels, retailers, value-added resellers, master agents and other resellers. The direct channel, value-added resellers and master agents are our primary distribution channels for business solutions and direct and retail are our primary distribution channels for residential customers. Our direct sales force is focused on business sales and includes trained sales representatives located in the U.S. and Canada responding to inbound telephone calls and sales leads generated through marketing activity and our website and third-party web sites.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retail distribution includes national and regional consumer electronics, big box retailers and leading online retailers, including Amazon, Best Buy, Costco.com, Walmart.com and others. We also have strategic partnerships with third parties, such as T-Mobile, which enables us to sell our services and products to certain of their customers. No single customer accounted for 10% or more of our total revenue for fiscal 2022, 2021 and 2020.</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service plans are generally sold as monthly subscriptions; however, certain plans are also offered as annual and multi-year subscriptions. Products are generally shipped and billed shortly after receipt of an order. We do not believe that our product backlog at any particular time is meaningful because it is not necessarily indicative of future revenue in any given period as such orders may be rescheduled or cancelled without penalty prior to shipment. The majority of our product revenue comes from orders that are received and shipped in the same quarter.</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Customer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customer support objective is to satisfy our customers and educate them on the features and benefits of our products to optimize the overall user experience. We employ an active customer management strategy in which we drive incremental revenue through cross-selling of products and services. Our customer support teams also manage the porting process for our customers as well as billing and payment activities.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maintain two customer contact centers: one operated by us in Newark, California, which primarily supports our business customers, and the other operated by a third-party provider in Manila, Philippines, which primarily supports our residential customers. In addition, our offices located in Vancouver, British Columbia and Boca Raton, Florida support our enterprise customers. We utilize a variety of communication media to serve the needs of our customers including telephone, online chat, online tutorials and e-mail.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003A5D"/>
        </w:rPr>
        <w:t>Engineering,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take an integrated approach to the development of our technology. Our extensive engineering resources span both hardware and software, and our business scope encompasses the entire platform from user devices such as handsets to cloud infrastructure, giving us the ability to create unique features and services for our customers. We believe our integrated engineering and business strategy is a significant competitive advantage and makes it feasible for us to leverage our platforms to deliver a broad range of productivity, automation and infrastructure connected services.</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invested significant time and resources into developing our engineering, research and development team, resulting in a group with diverse skills, ranging from digital and radio frequency hardware design to embedded software, network software, telecommunications, database architecture, operations support systems, billing, security, web design and mobile app development. Because our team develops and integrates our solutions, we are able to offer a solution that works seamlessly between software and hardware and respond to customer feedback to add in additional features and services that work across our platforms. Our team consists of a core set of engineers located primarily in the San Francisco Bay Area, augmented by development teams in several international locations.</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Operations and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serve most of our customers from three separate data center facilities located in Northern California, Texas and Virginia, where we lease space from Equinix, Inc. We also lease data center space in certain cities in Europe. While our service operations are partially redundant, account provisioning and billing are operated out of the San Jose facility for most of our customers. Our network operations and carrier operations teams are responsible for designing our core routing and switching infrastructure, managing growth and maintenance (including the introduction of new services) and orchestrating vendor relationships for hosted services, IP transit and carrier services and daily operation of our cloud and other services. The design of these services, and the tools for monitoring and managing them, are developed in combination with our engineering team.</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primarily contract with manufacturers in China and other Asian countries to produce our on-premise devices and end-point devices. We configure and ship to our channel partners and end users through our internal manufacturing and logistics team based in Newark, California. Our internal logistics team also manages reverse logistics for channel and warranty returns and works closely with our engineering team to develop tooling and processes that bring new products into production.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 w:name="page10"/>
    <w:bookmarkEnd w:id="9"/>
    <w:p>
      <w:pPr>
        <w:spacing w:after="0"/>
        <w:rPr>
          <w:sz w:val="20"/>
          <w:szCs w:val="20"/>
          <w:color w:val="auto"/>
        </w:rPr>
      </w:pPr>
      <w:r>
        <w:rPr>
          <w:rFonts w:ascii="Arial" w:cs="Arial" w:eastAsia="Arial" w:hAnsi="Arial"/>
          <w:sz w:val="29"/>
          <w:szCs w:val="29"/>
          <w:b w:val="1"/>
          <w:bCs w:val="1"/>
          <w:color w:val="003A5D"/>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market for communications solutions and other connected services for business, home and mobile users is very large, complex, fragmented and defined by changing technology and customer demands. We expect competition to continue to increase in the future. We believe that the defining factors driving competition in our market include:</w:t>
      </w:r>
    </w:p>
    <w:p>
      <w:pPr>
        <w:spacing w:after="0" w:line="61" w:lineRule="exact"/>
        <w:rPr>
          <w:sz w:val="20"/>
          <w:szCs w:val="20"/>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Quality and consistency of communications services;</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Lifetime value of initial investment and ongoing cost of services;</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Breadth of features and capabilities;</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System reliability, availability and performance;</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Speed and ease of activation, setup, and configuration;</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Ownership and control of the proprietary technology;</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Integration with multiple end-point devices and mobile solutions;</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Customer satisfaction and brand loyalty; and</w:t>
      </w:r>
    </w:p>
    <w:p>
      <w:pPr>
        <w:spacing w:after="0" w:line="62"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effectively access reseller channels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we generally compete favorably on the basis of the factors listed above. We face competition from a broad range of providers of communications solutions and other connected services for business, home and mobile users. Some of these competitors include:</w:t>
      </w:r>
    </w:p>
    <w:p>
      <w:pPr>
        <w:spacing w:after="0" w:line="61" w:lineRule="exact"/>
        <w:rPr>
          <w:sz w:val="20"/>
          <w:szCs w:val="20"/>
          <w:color w:val="auto"/>
        </w:rPr>
      </w:pPr>
    </w:p>
    <w:p>
      <w:pPr>
        <w:ind w:left="880" w:hanging="508"/>
        <w:spacing w:after="0" w:line="265"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Established communications providers, such as AT&amp;T Inc., Comcast Corporation, Verizon Communications Inc. and Rogers Communications Inc;</w:t>
      </w:r>
    </w:p>
    <w:p>
      <w:pPr>
        <w:spacing w:after="0" w:line="1" w:lineRule="exact"/>
        <w:rPr>
          <w:rFonts w:ascii="Times New Roman" w:cs="Times New Roman" w:eastAsia="Times New Roman" w:hAnsi="Times New Roman"/>
          <w:sz w:val="18"/>
          <w:szCs w:val="18"/>
          <w:color w:val="auto"/>
        </w:rPr>
      </w:pPr>
    </w:p>
    <w:p>
      <w:pPr>
        <w:jc w:val="both"/>
        <w:ind w:left="880" w:hanging="508"/>
        <w:spacing w:after="0" w:line="281" w:lineRule="auto"/>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Other cloud-based communications companies such as RingCentral Inc., Vonage Holdings Corp, 8x8 Inc., Nextiva, Inc., Intermedia.net Inc., Dialpad Inc., Microsoft Corporation, Zoom Video Communications, Inc., and Alphabet Inc. (Google Voice); and</w:t>
      </w:r>
    </w:p>
    <w:p>
      <w:pPr>
        <w:ind w:left="880" w:hanging="508"/>
        <w:spacing w:after="0"/>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Traditional on-premise hardware business communications providers such as Avaya Inc., Cisco Systems, Inc. and Mitel, Inc.</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of these companies currently or may in the future host their solutions through the cloud. Additionally, we recently entered the POTS replacement market and our new AirDial product will face competition from other companies, such as Granite Telecommunications LLC and DataRemote Inc., promoting their own POTS-related products and solutions.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the section entitled “Risks Related to Our Business and Industry” in Item 1A. "Risk Factors" below for more information related to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spacing w:after="0"/>
        <w:rPr>
          <w:sz w:val="20"/>
          <w:szCs w:val="20"/>
          <w:color w:val="auto"/>
        </w:rPr>
      </w:pPr>
      <w:r>
        <w:rPr>
          <w:rFonts w:ascii="Arial" w:cs="Arial" w:eastAsia="Arial" w:hAnsi="Arial"/>
          <w:sz w:val="29"/>
          <w:szCs w:val="29"/>
          <w:b w:val="1"/>
          <w:bCs w:val="1"/>
          <w:color w:val="003A5D"/>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003A5D"/>
        </w:rPr>
        <w:t>People and Culture</w:t>
      </w:r>
      <w:r>
        <w:rPr>
          <w:rFonts w:ascii="Arial" w:cs="Arial" w:eastAsia="Arial" w:hAnsi="Arial"/>
          <w:sz w:val="18"/>
          <w:szCs w:val="18"/>
          <w:color w:val="000000"/>
        </w:rPr>
        <w:t>. We view our people and our company culture as key to our success. We aim to attract and retain talented people</w:t>
      </w:r>
      <w:r>
        <w:rPr>
          <w:rFonts w:ascii="Arial" w:cs="Arial" w:eastAsia="Arial" w:hAnsi="Arial"/>
          <w:sz w:val="18"/>
          <w:szCs w:val="18"/>
          <w:b w:val="1"/>
          <w:bCs w:val="1"/>
          <w:color w:val="003A5D"/>
        </w:rPr>
        <w:t xml:space="preserve"> </w:t>
      </w:r>
      <w:r>
        <w:rPr>
          <w:rFonts w:ascii="Arial" w:cs="Arial" w:eastAsia="Arial" w:hAnsi="Arial"/>
          <w:sz w:val="18"/>
          <w:szCs w:val="18"/>
          <w:color w:val="000000"/>
        </w:rPr>
        <w:t>representing diverse perspectives and skills, who are driven by our common Ooma values: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care </w:t>
      </w:r>
      <w:r>
        <w:rPr>
          <w:rFonts w:ascii="Arial" w:cs="Arial" w:eastAsia="Arial" w:hAnsi="Arial"/>
          <w:sz w:val="18"/>
          <w:szCs w:val="18"/>
          <w:color w:val="auto"/>
        </w:rPr>
        <w:t>that everyone loves their Ooma experience.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think big </w:t>
      </w:r>
      <w:r>
        <w:rPr>
          <w:rFonts w:ascii="Arial" w:cs="Arial" w:eastAsia="Arial" w:hAnsi="Arial"/>
          <w:sz w:val="18"/>
          <w:szCs w:val="18"/>
          <w:color w:val="auto"/>
        </w:rPr>
        <w:t>to innovate and revolutionize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create </w:t>
      </w:r>
      <w:r>
        <w:rPr>
          <w:rFonts w:ascii="Arial" w:cs="Arial" w:eastAsia="Arial" w:hAnsi="Arial"/>
          <w:sz w:val="18"/>
          <w:szCs w:val="18"/>
          <w:color w:val="auto"/>
        </w:rPr>
        <w:t>smarter solutions that uniquely deliver both superior experiences and superior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embrace </w:t>
      </w:r>
      <w:r>
        <w:rPr>
          <w:rFonts w:ascii="Arial" w:cs="Arial" w:eastAsia="Arial" w:hAnsi="Arial"/>
          <w:sz w:val="18"/>
          <w:szCs w:val="18"/>
          <w:color w:val="auto"/>
        </w:rPr>
        <w:t>diversity of thought to make the best decisions.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respect </w:t>
      </w:r>
      <w:r>
        <w:rPr>
          <w:rFonts w:ascii="Arial" w:cs="Arial" w:eastAsia="Arial" w:hAnsi="Arial"/>
          <w:sz w:val="18"/>
          <w:szCs w:val="18"/>
          <w:color w:val="auto"/>
        </w:rPr>
        <w:t>that problems are best solved by fact-based discussions and positive intent.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choose </w:t>
      </w:r>
      <w:r>
        <w:rPr>
          <w:rFonts w:ascii="Arial" w:cs="Arial" w:eastAsia="Arial" w:hAnsi="Arial"/>
          <w:sz w:val="18"/>
          <w:szCs w:val="18"/>
          <w:color w:val="auto"/>
        </w:rPr>
        <w:t>to be a force for good in the world.</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time-to-time, we conduct confidential company-wide surveys to capture our employees’ views of the organization, company goals and job satisfaction, which our senior leadership team reviews and acts upon, as appropriate. Our employees are encouraged to engage with company leadership and openly raise concerns and questions, including via our quarterly employee communications meeting with the CEO and senior management team. Our management team also regularly hosts “Ask and Answer” sessions across the organization to create more opportunities for employees to communicate, share ideas and learn about Ooma.</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003A5D"/>
        </w:rPr>
        <w:t>Diversity, Equity, Inclusion (“DEI”) and Racial Justice</w:t>
      </w:r>
      <w:r>
        <w:rPr>
          <w:rFonts w:ascii="Arial" w:cs="Arial" w:eastAsia="Arial" w:hAnsi="Arial"/>
          <w:sz w:val="18"/>
          <w:szCs w:val="18"/>
          <w:color w:val="000000"/>
        </w:rPr>
        <w:t>. Our commitment to DEI and racial justice is more than the policies and practices</w:t>
      </w:r>
      <w:r>
        <w:rPr>
          <w:rFonts w:ascii="Arial" w:cs="Arial" w:eastAsia="Arial" w:hAnsi="Arial"/>
          <w:sz w:val="18"/>
          <w:szCs w:val="18"/>
          <w:b w:val="1"/>
          <w:bCs w:val="1"/>
          <w:color w:val="003A5D"/>
        </w:rPr>
        <w:t xml:space="preserve"> </w:t>
      </w:r>
      <w:r>
        <w:rPr>
          <w:rFonts w:ascii="Arial" w:cs="Arial" w:eastAsia="Arial" w:hAnsi="Arial"/>
          <w:sz w:val="18"/>
          <w:szCs w:val="18"/>
          <w:color w:val="000000"/>
        </w:rPr>
        <w:t>we develop and adhere to – it is an integral part of who we are and how we operate. We believe it is our responsibility to embrace a diverse employee workforce, build a strong and caring culture of inclusion and lead with both passion and compassion. We believe our diversity makes us strong and have pledged along with the Silicon Valley Leadership Group to be an agent of sustainable change. Our internal DEI and Racial Justice committee leads our commitment to put this pledge into action and provides an open door to all of our personnel who would like to actively contribute to the effort. We believe a diverse and inclusive workforce serves to enrich our employee experience.</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Compensation and Benefits</w:t>
      </w:r>
      <w:r>
        <w:rPr>
          <w:rFonts w:ascii="Arial" w:cs="Arial" w:eastAsia="Arial" w:hAnsi="Arial"/>
          <w:sz w:val="18"/>
          <w:szCs w:val="18"/>
          <w:color w:val="000000"/>
        </w:rPr>
        <w:t>. We aim to provide our employees competitive salaries and benefit programs that help meet the varying</w:t>
      </w:r>
      <w:r>
        <w:rPr>
          <w:rFonts w:ascii="Arial" w:cs="Arial" w:eastAsia="Arial" w:hAnsi="Arial"/>
          <w:sz w:val="18"/>
          <w:szCs w:val="18"/>
          <w:b w:val="1"/>
          <w:bCs w:val="1"/>
          <w:color w:val="003A5D"/>
        </w:rPr>
        <w:t xml:space="preserve"> </w:t>
      </w:r>
      <w:r>
        <w:rPr>
          <w:rFonts w:ascii="Arial" w:cs="Arial" w:eastAsia="Arial" w:hAnsi="Arial"/>
          <w:sz w:val="18"/>
          <w:szCs w:val="18"/>
          <w:color w:val="000000"/>
        </w:rPr>
        <w:t>needs of our workforce. These programs include an employee stock purchase plan, equity awards and bonuses, a 401(k) retirement plan with a company match, healthcare benefits, paid time off and family leave, and flexible work arrangements. We conduct annual benchmarking to assess our compensation and benefit programs against those of our peers.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Community Support</w:t>
      </w:r>
      <w:r>
        <w:rPr>
          <w:rFonts w:ascii="Arial" w:cs="Arial" w:eastAsia="Arial" w:hAnsi="Arial"/>
          <w:sz w:val="18"/>
          <w:szCs w:val="18"/>
          <w:color w:val="000000"/>
        </w:rPr>
        <w:t>.  We believe in giving back and promoting community outreach through corporate giving and employee volunteerism.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Through our “Ooma Giving Back” program, we partner with certain non-profit organizations to help support several local communities.</w:t>
      </w: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Employees and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2022, we had a total of 383 full-time employees, all of whom are located in the U.S. and Canada. None of our employees is represented by a labor union or subject to a collective bargaining agreement. Additionally, we utilize third party contractors and temporary personnel to supplement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003A5D"/>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rely on a combination of patents, trade secrets, copyrights, trademarks, confidentiality and proprietary rights agreements with our employees, consultants and other third parties, as well as other contractual protections to establish and protect our intellectual property rights. We control access to our software, documentation and other proprietary information, and our software is protected by U.S. and international copyright laws. As of January 31, 2022, we had 47 issued patents and 8 patent applications pending in the U.S. and 4 patent applications pending in foreign jurisdictions, all of which are associated with U.S. applications. Our issued patents will expire approximately between 2031 and 2040. We are also a party to various license agreements with third parties who typically grant us the right to use certain third-party technology in conjunction with our products and services, or to integrate software into our products, including open source software and other software available on commercially reasonable terms. Although our success depends, in part, on our ability to protect our proprietary technology and other intellectual property rights, we believe the technological and creative skills of our personnel, the development of new features and functionality and frequent enhancements to our products and services are the primary methods of establishing and maintaining our technology leadership position.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the section entitled “Risks Related to Security, IT Systems and Intellectual Property” in Item 1A. "Risk Factors” below for more information on our intellectual property risks.</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Traditional telephone service historically has been subject to extensive federal and state regulation, while Internet services generally have been subject to less regulation. Because some elements of VoIP resemble the services provided by traditional telephone companies and others resemble the services provided by internet service providers, the VoIP industry has not fit easily within the existing framework of telecommunications law. The Federal Communications Commission (“FCC”), the U.S. Congress, and various regulatory bodies in the states and in foreign countries have imposed regulations on VoIP providers and are continuing to consider new regulatory requirements on VoIP services.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Federal Regulation. </w:t>
      </w:r>
      <w:r>
        <w:rPr>
          <w:rFonts w:ascii="Arial" w:cs="Arial" w:eastAsia="Arial" w:hAnsi="Arial"/>
          <w:sz w:val="18"/>
          <w:szCs w:val="18"/>
          <w:color w:val="000000"/>
        </w:rPr>
        <w:t>As a provider of internet communications services, we are subject to a number of FCC regulations. Among others,</w:t>
      </w:r>
      <w:r>
        <w:rPr>
          <w:rFonts w:ascii="Arial" w:cs="Arial" w:eastAsia="Arial" w:hAnsi="Arial"/>
          <w:sz w:val="18"/>
          <w:szCs w:val="18"/>
          <w:b w:val="1"/>
          <w:bCs w:val="1"/>
          <w:color w:val="003A5D"/>
        </w:rPr>
        <w:t xml:space="preserve"> </w:t>
      </w:r>
      <w:r>
        <w:rPr>
          <w:rFonts w:ascii="Arial" w:cs="Arial" w:eastAsia="Arial" w:hAnsi="Arial"/>
          <w:sz w:val="18"/>
          <w:szCs w:val="18"/>
          <w:color w:val="000000"/>
        </w:rPr>
        <w:t>these regulatory obligations include: contributing to the Federal Universal Service Fund (“USF”), the Telecommunications Relay Service Fund and federal programs related to phone number administration; providing access to E-911 services; protecting customer information; and porting phone numbers upon a valid customer request.</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003A5D"/>
        </w:rPr>
        <w:t xml:space="preserve">State Regulation. </w:t>
      </w:r>
      <w:r>
        <w:rPr>
          <w:rFonts w:ascii="Arial" w:cs="Arial" w:eastAsia="Arial" w:hAnsi="Arial"/>
          <w:sz w:val="18"/>
          <w:szCs w:val="18"/>
          <w:color w:val="000000"/>
        </w:rPr>
        <w:t>The FCC has preempted much regulation of internet voice communications services. However, a number of states have</w:t>
      </w:r>
      <w:r>
        <w:rPr>
          <w:rFonts w:ascii="Arial" w:cs="Arial" w:eastAsia="Arial" w:hAnsi="Arial"/>
          <w:sz w:val="18"/>
          <w:szCs w:val="18"/>
          <w:b w:val="1"/>
          <w:bCs w:val="1"/>
          <w:color w:val="003A5D"/>
        </w:rPr>
        <w:t xml:space="preserve"> </w:t>
      </w:r>
      <w:r>
        <w:rPr>
          <w:rFonts w:ascii="Arial" w:cs="Arial" w:eastAsia="Arial" w:hAnsi="Arial"/>
          <w:sz w:val="18"/>
          <w:szCs w:val="18"/>
          <w:color w:val="000000"/>
        </w:rPr>
        <w:t>ruled that non-nomadic internet voice communications services may or do fall within the definition of “telecommunications services” or are otherwise within state telecommunications regulatory jurisdiction and therefore those states assert that they have authority to regulate the service. Although no states currently require certification for nomadic internet voice communications service providers, a number of states have imposed certain traditional telecommunications requirements on such services. For example, a number of states require us to contribute to state USF and E-911 and pay other surcharges, which are passed through to our customers, while others are actively considering extending their public policy programs to include the services we provide. We expect that state public utility commissions will continue their attempts to apply state telecommunications regulations to internet voice communications services like ours.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003A5D"/>
        </w:rPr>
        <w:t xml:space="preserve">International Regulation. </w:t>
      </w:r>
      <w:r>
        <w:rPr>
          <w:rFonts w:ascii="Arial" w:cs="Arial" w:eastAsia="Arial" w:hAnsi="Arial"/>
          <w:sz w:val="18"/>
          <w:szCs w:val="18"/>
          <w:color w:val="000000"/>
        </w:rPr>
        <w:t>As we expand internationally, we are subject to laws and regulations in the countries in which we offer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services. Regulatory treatment of internet communications services outside the U.S. varies from country to country, is often unclear, and may be more onerous than imposed on our services in the U.S. In Canada, our service is regulated by the Canadian Radio-television and Telecommunications Commission (“CRTC”) which, among other things, imposes requirements similar to the U.S. related to the provision of E-911 services in all areas of Canada where the traditional telephone carrier offers such 911 services. Our regulatory obligations in foreign jurisdictions could have a material adverse effect on our ability to expand internationally, and on the use of our services in international locations.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entitled “Risks Related to Regulatory and Tax Matters” in Item 1A. Risk Factors below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filings with the SEC such as our Annual Reports on Form 10-K, Quarterly Reports on Form 10-Q, Current Reports on Form 8-K and amendments to these reports are available free of charge at http://investors.ooma.com as soon as reasonably practical after they are electronically filed with, or furnished to, the SEC. The SEC’s website, www.sec.gov, contains reports, proxy statements and other information regarding issuers that file electronically with the SEC. The content on any website referred to in this Form 10-K is not incorporated by reference in this Form 10-K unless expressly noted.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ITEM 1A. Risk Factors</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current and prospective investors should carefully consider the risks and uncertainties described below, together with all of the other information in this Annual Report on Form 10-K, including our consolidated financial statements and the related notes, “Management’s Discussion and Analysis of Financial Condition and Results of Operations” and the “Cautionary Note Regarding Forward-Looking Statements,” before making investment decisions regarding our common stock. The risks and uncertainties described below may not be the only ones we face but include the most significant factors currently known by us. Additional risks and uncertainties that we are unaware of, or that we currently believe are not material, also may become important factors that affect us. If any of the risks actually occur, our business, financial condition, results of operations could be materially and adversely affected. In that event, the trading price of our common stock could decline, and you could lose part or all of your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5581"/>
        </w:rPr>
        <w:t>Risk Factor Summary</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numerous risks and uncertainties, and the following is a summary of key risk factors when considering an investment. This summary should be read together with the more detailed description of each risk factor contained in the subheadings further below and should not be relied upon as an exhaustive summary of the material risks facing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Industry</w:t>
      </w:r>
    </w:p>
    <w:p>
      <w:pPr>
        <w:spacing w:after="0" w:line="102"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attract new users of our services on a cost-effective basis, our business will be materially and adversely affected.</w:t>
      </w:r>
    </w:p>
    <w:p>
      <w:pPr>
        <w:spacing w:after="0" w:line="75"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customers may terminate their subscriptions for our service in most cases without penalty, and increased customer turnover, or costs we incur to retain our customers and induce them to add users and/or functionality could materially and adversely affect our financial performance.</w:t>
      </w:r>
    </w:p>
    <w:p>
      <w:pPr>
        <w:spacing w:after="0" w:line="8"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several sole suppliers to provide the components for, and a small number of vendors to manufacture, certain on-premise devices and end-point devices we sell, and any delay or interruption in manufacturing, configuring and delivering by these third parties would result in delayed or reduced shipments to our customers and may increase our costs and harm our business and results of operations.</w:t>
      </w:r>
    </w:p>
    <w:p>
      <w:pPr>
        <w:spacing w:after="0" w:line="14"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including third parties located in Russia, for some of our software development, quality assurance and operations, and anticipate we will continue to do so for the foreseeable future.</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 ransomware attack or other security breach could delay or interrupt service to our customers, compromise the integrity of our systems or data that we collect, result in the loss of our intellectual property or confidential information, harm our reputation, or subject us to significant liability.</w:t>
      </w:r>
    </w:p>
    <w:p>
      <w:pPr>
        <w:spacing w:after="0" w:line="8"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impact of the COVID-19 pandemic, including any resurgences, could disrupt and cause harm to our business, operating results or financial condition.</w:t>
      </w:r>
    </w:p>
    <w:p>
      <w:pPr>
        <w:spacing w:after="0" w:line="1" w:lineRule="exact"/>
        <w:rPr>
          <w:rFonts w:ascii="Times New Roman" w:cs="Times New Roman" w:eastAsia="Times New Roman" w:hAnsi="Times New Roman"/>
          <w:sz w:val="18"/>
          <w:szCs w:val="18"/>
          <w:color w:val="auto"/>
        </w:rPr>
      </w:pPr>
    </w:p>
    <w:p>
      <w:pPr>
        <w:ind w:left="380" w:right="20" w:hanging="372"/>
        <w:spacing w:after="0" w:line="26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significantly on retailers and reseller partnerships to sell our products; our failure to effectively develop, manage and maintain these sales channels could materially and adversely affect our revenue and business.</w:t>
      </w:r>
    </w:p>
    <w:p>
      <w:pPr>
        <w:spacing w:after="0" w:line="1" w:lineRule="exact"/>
        <w:rPr>
          <w:rFonts w:ascii="Times New Roman" w:cs="Times New Roman" w:eastAsia="Times New Roman" w:hAnsi="Times New Roman"/>
          <w:sz w:val="18"/>
          <w:szCs w:val="18"/>
          <w:color w:val="auto"/>
        </w:rPr>
      </w:pPr>
    </w:p>
    <w:p>
      <w:pPr>
        <w:ind w:left="380" w:right="20" w:hanging="372"/>
        <w:spacing w:after="0" w:line="25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face competition in our markets by our competitors (including mergers or other strategic transactions involving our competitors) and may lack sufficient financial or other resources to compete successfully.</w:t>
      </w:r>
    </w:p>
    <w:p>
      <w:pPr>
        <w:ind w:left="380" w:right="20" w:hanging="372"/>
        <w:spacing w:after="0" w:line="229" w:lineRule="exact"/>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To deliver our services, we rely on third parties for our network connectivity and co</w:t>
      </w:r>
      <w:r>
        <w:rPr>
          <w:rFonts w:ascii="MS PGothic" w:cs="MS PGothic" w:eastAsia="MS PGothic" w:hAnsi="MS PGothic"/>
          <w:sz w:val="18"/>
          <w:szCs w:val="18"/>
          <w:color w:val="auto"/>
        </w:rPr>
        <w:t>‑</w:t>
      </w:r>
      <w:r>
        <w:rPr>
          <w:rFonts w:ascii="Arial" w:cs="Arial" w:eastAsia="Arial" w:hAnsi="Arial"/>
          <w:sz w:val="18"/>
          <w:szCs w:val="18"/>
          <w:color w:val="auto"/>
        </w:rPr>
        <w:t>location facilities for certain features in our services and for certain elements of providing our services.</w:t>
      </w:r>
    </w:p>
    <w:p>
      <w:pPr>
        <w:spacing w:after="0" w:line="1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our services could harm our reputation, result in significant costs to us and impair our ability to sell our services.</w:t>
      </w:r>
    </w:p>
    <w:p>
      <w:pPr>
        <w:spacing w:after="0" w:line="62" w:lineRule="exact"/>
        <w:rPr>
          <w:rFonts w:ascii="Times New Roman" w:cs="Times New Roman" w:eastAsia="Times New Roman" w:hAnsi="Times New Roman"/>
          <w:sz w:val="18"/>
          <w:szCs w:val="18"/>
          <w:color w:val="auto"/>
        </w:rPr>
      </w:pPr>
    </w:p>
    <w:p>
      <w:pPr>
        <w:ind w:left="380" w:hanging="372"/>
        <w:spacing w:after="0" w:line="229" w:lineRule="exact"/>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provide the majority of our customer service and support representatives. If these third parties do not provide our customers with reliable, high</w:t>
      </w:r>
      <w:r>
        <w:rPr>
          <w:rFonts w:ascii="MS PGothic" w:cs="MS PGothic" w:eastAsia="MS PGothic" w:hAnsi="MS PGothic"/>
          <w:sz w:val="18"/>
          <w:szCs w:val="18"/>
          <w:color w:val="auto"/>
        </w:rPr>
        <w:t>‑</w:t>
      </w:r>
      <w:r>
        <w:rPr>
          <w:rFonts w:ascii="Arial" w:cs="Arial" w:eastAsia="Arial" w:hAnsi="Arial"/>
          <w:sz w:val="18"/>
          <w:szCs w:val="18"/>
          <w:color w:val="auto"/>
        </w:rPr>
        <w:t>quality service, our reputation and our business will be harmed.</w:t>
      </w:r>
    </w:p>
    <w:p>
      <w:pPr>
        <w:spacing w:after="0" w:line="2"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suffer if we cannot obtain or retain direct inward dialing numbers, or DIDs, are prohibited from obtaining local or toll-free numbers, or are limited to distributing local or toll-free numbers to only certain customers.</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effectively process local number and toll-free number portability provisioning in a timely manner, our growth may be negatively affected.</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achieve or sustain profitability in the future.</w:t>
      </w:r>
    </w:p>
    <w:p>
      <w:pPr>
        <w:spacing w:after="0" w:line="6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continue developing our brand or our reputation is harmed, our business may suffer.</w:t>
      </w:r>
    </w:p>
    <w:p>
      <w:pPr>
        <w:spacing w:after="0" w:line="62"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quarterly and annual results have fluctuated in the past and may continue to do so. As a result, we may fail to meet or to exceed the expectations of research analysts or investors, which could cause our stock price to fluctuate.</w:t>
      </w:r>
    </w:p>
    <w:p>
      <w:pPr>
        <w:spacing w:after="0" w:line="1"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additional tariffs or other restrictions are placed on our goods imported from other countries, our revenue, gross margin, and results of operations may be materially harmed.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ind w:left="380" w:hanging="372"/>
        <w:spacing w:after="0" w:line="265"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portion of our revenues today come from small and medium-sized businesses, which may have fewer financial resources to weather an economic downturn.</w:t>
      </w:r>
    </w:p>
    <w:p>
      <w:pPr>
        <w:ind w:left="380" w:hanging="372"/>
        <w:spacing w:after="0" w:line="265"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manage our inventory levels and purchase commitments effectively, we may experience excess inventory levels, inventory obsolescence, or shortages of inventory that could adversely affect our results of operations.</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may lose key members of our management team and other key employees, and may be unable to attract and retain employees we need to support our operations and growth.</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expand through acquisitions of, or investments in, other companies, each of which may divert our management’s attention, disrupt our operations and harm our results of operations.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secure additional financing on favorable terms, or at all, to meet our future capital needs.</w:t>
      </w:r>
    </w:p>
    <w:p>
      <w:pPr>
        <w:spacing w:after="0" w:line="62" w:lineRule="exact"/>
        <w:rPr>
          <w:rFonts w:ascii="Times New Roman" w:cs="Times New Roman" w:eastAsia="Times New Roman" w:hAnsi="Times New Roman"/>
          <w:sz w:val="18"/>
          <w:szCs w:val="18"/>
          <w:color w:val="auto"/>
        </w:rPr>
      </w:pPr>
    </w:p>
    <w:p>
      <w:pPr>
        <w:ind w:left="380" w:hanging="372"/>
        <w:spacing w:after="0" w:line="245" w:lineRule="auto"/>
        <w:tabs>
          <w:tab w:leader="none" w:pos="3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If we are unable to develop, acquire and/or sell new products, services or applications on a timely and cost-effective basis, our business, financial condition, and results of operations may be materially and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Security, IT Systems and Intellectual Property</w:t>
      </w:r>
    </w:p>
    <w:p>
      <w:pPr>
        <w:spacing w:after="0" w:line="102" w:lineRule="exact"/>
        <w:rPr>
          <w:sz w:val="20"/>
          <w:szCs w:val="20"/>
          <w:color w:val="auto"/>
        </w:rPr>
      </w:pPr>
    </w:p>
    <w:p>
      <w:pPr>
        <w:ind w:left="380" w:hanging="372"/>
        <w:spacing w:after="0" w:line="265"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and expect to continue to incur, significant costs to protect against security breaches. We may incur significant additional costs in the future to address problems caused by any actual or perceived security breaches.</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Failures in internet infrastructure or interference with broadband access could cause current or potential customers to believe that our systems are unreliable, leading our current customers to switch to our competitors or potential customers to avoid using our services.</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business relies on customers’ continued and unimpeded access to broadband service. Providers of broadband services may block or degrade our services, which could adversely affect our revenue and growth.</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excessive fraudulent activity or cannot meet evolving credit card association merchant standards, we could incur substantial costs and lose the right to accept credit cards for payment, which could cause our customer base to decline significantly.</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Any failure to obtain registration or protection of our intellectual property rights could materially and adversely affect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Regulatory and Tax Matters</w:t>
      </w:r>
    </w:p>
    <w:p>
      <w:pPr>
        <w:spacing w:after="0" w:line="102" w:lineRule="exact"/>
        <w:rPr>
          <w:sz w:val="20"/>
          <w:szCs w:val="20"/>
          <w:color w:val="auto"/>
        </w:rPr>
      </w:pPr>
    </w:p>
    <w:p>
      <w:pPr>
        <w:ind w:left="380" w:right="20" w:hanging="372"/>
        <w:spacing w:after="0" w:line="265"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are subject to regulation and future legislative or regulatory actions could adversely affect our business and expose us to liability.</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of additional 911 requirements by the FCC could increase our costs that could make our service more expensive, decrease our profit margins, or both.</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we cannot comply with the FCC’s rules imposing call signaling requirements on VoIP providers like us, we may be subject to fines, cease and desist orders, or other penalties.</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comply with communications and telemarketing laws could result in significant fines or place significant restrictions on our business.</w:t>
      </w:r>
    </w:p>
    <w:p>
      <w:pPr>
        <w:spacing w:after="0" w:line="1" w:lineRule="exact"/>
        <w:rPr>
          <w:rFonts w:ascii="Times New Roman" w:cs="Times New Roman" w:eastAsia="Times New Roman" w:hAnsi="Times New Roman"/>
          <w:sz w:val="18"/>
          <w:szCs w:val="18"/>
          <w:color w:val="auto"/>
        </w:rPr>
      </w:pPr>
    </w:p>
    <w:p>
      <w:pPr>
        <w:ind w:left="380" w:right="20" w:hanging="372"/>
        <w:spacing w:after="0" w:line="265"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FCC has continued to increase regulation of interconnected VoIP services and may at any time determine certain VoIP services are telecommunications services subject to traditional common carrier regulation.</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Reform of federal and state USF programs could increase the cost of our service to our customers, diminishing or eliminating our pricing advantage.</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process, store, and use personal information and other data, which subjects us and our customers to a variety of evolving industry standards, contractual obligations and other legal rules related to privacy, which may increase our costs, decrease adoption and use of our products and services, and expose us to liability.</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Use or delivery of our services may become subject to new or increased regulatory requirements, taxes or fees.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005581"/>
        </w:rPr>
        <w:t>Risks Related to Our Business and Our Industry</w:t>
      </w:r>
    </w:p>
    <w:p>
      <w:pPr>
        <w:spacing w:after="0" w:line="16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are unable to attract new users of our services on a cost-effective basis our business will be materially and adversely affected.</w:t>
      </w:r>
    </w:p>
    <w:p>
      <w:pPr>
        <w:spacing w:after="0" w:line="3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In order to grow our business, we must continue to attract new users on a cost-effective basis. We use and periodically adjust the mix of advertising and marketing programs to promote our services. Significant increases in the pricing of one or more of our advertising channels could increase our advertising costs or may cause us to choose less expensive and perhaps less effective channels to promote our services. As we add to or change the mix of our advertising and marketing strategies, we may need to expand into channels with significantly higher costs than our current programs, which could materially and adversely affect our results of operations. We will incur advertising and marketing expenses in advance of when we anticipate recognizing any revenue generated by such expenses, and we may fail to experience an increase in revenue or brand awareness as a result of such expenditures. We have made in the past, and may make in the future, significant expenditures and investments in new advertising campaigns, and we cannot assure you that any such investments will lead to the cost-effective acquisition of additional customers. New users are drawn to our products and services by rankings circulated by organizations such as Amazon, Apple and Google app stores and highly regarded publications such as PCMag. If we are unable to maintain effective advertising programs and garner favorable rankings, our ability to attract new customers could be materially and adversely affected, which could lead us to increase our advertising and marketing expenditures substantially, and our results of operations may suffer.</w:t>
      </w:r>
    </w:p>
    <w:p>
      <w:pPr>
        <w:spacing w:after="0" w:line="75"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We market our products and services principally to businesses and households. Some of these business customers and consumers are less technically knowledgeable and may be resistant to new technologies such as our cloud-based communications solutions and our connected services. Because our potential customers need to connect additional hardware at their location and take other steps not required for the use of traditional communications services such as telephone, fax and e-mail, these customers may be reluctant to use our service. These customers may also lack sufficient resources, financial or otherwise, to invest in learning about our services, and therefore may be unwilling to adopt them. If these customers choose not to adopt our services, our ability to grow our business could be negatively affected.</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customers may terminate their subscriptions for our service in most cases without penalty, and increased customer turnover, or costs we incur to retain our customers and encourage them to add users and, in the future, to purchase additional functionalities and premium services, could materially and adversely affect our financial performance.</w:t>
      </w:r>
    </w:p>
    <w:p>
      <w:pPr>
        <w:spacing w:after="0" w:line="5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Our service plans are generally sold as monthly subscriptions and our customers may terminate their monthly subscription for convenience without any penalty. Certain of our service plans are also sold as annual and multi-year subscriptions, typically ranging up to 3 years. However, our customers have no obligation to renew their subscriptions for such services and may elect to terminate their subscription for any number of reasons. As a result, we have no assurance that the revenue stream associated with a particular customer account will continue beyond the initial subscription term. Additionally, our Ooma Business customers may choose to reduce the number of lines or remove some of the solutions to which they subscribe. Given Ooma Business customers generally pay more for their subscriptions than residential or mobile customers, any increased churn in business customers could materially and adversely affect our financial performance and user churn, resulting in a significant impact on our results of operations, and increase the costs we incur in our efforts to retain our customers and encourage them to upgrade their services and increase their number of users.</w:t>
      </w:r>
    </w:p>
    <w:p>
      <w:pPr>
        <w:spacing w:after="0" w:line="75"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Our core user churn rate could increase significantly in the future if customers are not satisfied with our service, the value proposition of our services, our ability to otherwise meet their needs and expectations, and/or other factors beyond our control. As a result, we may have to acquire new customers or new users within our existing customer base on an ongoing basis simply to maintain our existing level of revenue. If a significant number of customers terminate, reduce or fail to renew their subscriptions, we may need to incur significantly higher marketing expenditures than anticipated to maintain or increase our revenue, which could harm our business and results of operations. Our efforts to mitigate risk of customer churn due to any factor may divert management’s time and focus away from efforts to address customer churn due to other factors. This broad-based susceptibility to churn could materially and adversely affect our financial performance.</w:t>
      </w:r>
    </w:p>
    <w:p>
      <w:pPr>
        <w:spacing w:after="0" w:line="77"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Our future success also depends in part on our ability to sell additional subscriptions and functionalities to our current customer base, which may require increasingly sophisticated, costlier sales efforts and a longer sales cycle. Any increase in the costs necessary to upgrade, expand and retain existing customers could materially and adversely affect our financial performance. Such increased costs could cause us to increase our subscription rates, which could increase our customer turnover rate. If our efforts to convince customers to add users and, in the future, to purchase additional functionalities are not successful, our business may suffer.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5" w:name="page16"/>
    <w:bookmarkEnd w:id="15"/>
    <w:p>
      <w:pPr>
        <w:jc w:val="both"/>
        <w:spacing w:after="0" w:line="249" w:lineRule="auto"/>
        <w:rPr>
          <w:sz w:val="20"/>
          <w:szCs w:val="20"/>
          <w:color w:val="auto"/>
        </w:rPr>
      </w:pPr>
      <w:r>
        <w:rPr>
          <w:rFonts w:ascii="Arial" w:cs="Arial" w:eastAsia="Arial" w:hAnsi="Arial"/>
          <w:sz w:val="18"/>
          <w:szCs w:val="18"/>
          <w:b w:val="1"/>
          <w:bCs w:val="1"/>
          <w:i w:val="1"/>
          <w:iCs w:val="1"/>
          <w:color w:val="auto"/>
        </w:rPr>
        <w:t>We depend on several sole suppliers to provide the components for, and a small number of vendors to manufacture, certain on-premise devices and end-point devices we sell, and any delay or interruption in manufacturing, configuring and delivering by these third parties would result in delayed or reduced shipments to our customers and may increase our costs and harm our business and results of operations.</w:t>
      </w:r>
    </w:p>
    <w:p>
      <w:pPr>
        <w:spacing w:after="0" w:line="57"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We primarily contract with manufacturers in China and other Asian countries to produce our on-premise devices and end-point devices and our results of operations has been and could be further affected by slowdowns in manufacturing due to external factors such as the spread of the COVID-19 pandemic. For example, the Chinese government has from time to time imposed certain restrictions on movement of people and goods to limit the spread of COVID-19, including recently as the outbreak in Hong Kong has spread to China, which has disrupted supply chains globally. Further, many other countries have imposed or are imposing certain restrictions on the movement of people and goods and may continue to lift and reimpose such restrictions as needed.</w:t>
      </w:r>
    </w:p>
    <w:p>
      <w:pPr>
        <w:spacing w:after="0" w:line="7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currently do not have long-term contracts with our contract manufacturers and they are not obligated to provide products to or perform services for us for any specific period, in any specific quantities or at any specific price, except as may be provided in a particular purchase order. If these third parties are unable or unwilling to deliver products of acceptable quality or in a timely manner, our ability to bring services to market, the reliability of our services and our reputation could suffer. We expect that it could take several months to effectively transition to new third-party manufacturers or fulfillment agents. We may also decide to switch to or bring on additional contract manufacturers to better meet our needs. Switching to or bringing on a new contract manufacturer and commencing production is expensive and time-consuming and may cause delays in order fulfillment at our existing contract manufacturers or cause other disruptions.</w:t>
      </w:r>
    </w:p>
    <w:p>
      <w:pPr>
        <w:spacing w:after="0" w:line="77"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Additionally, several components used in our on-premise devices, end-point devices and new products such as Ooma AirDial are “single sourced” and any interruption in the suppliers of such components could cause our business and operating results to suffer as we identify alternative sources of components. For example, we have experienced longer lead times in the supply of some of these components as a result of global supply chain disruptions caused in-part by the ongoing COVID-19 pandemic and war in the Ukraine. We are also subject to the risk of shortages (including changes in the prioritization of our orders), price increases and the risk that our suppliers may discontinue or modify components used in our products. The occurrence of other events outside our control, such as public health crises, natural disasters or climate change, could impact our suppliers’ facilities and component providers, many of which are located in China and other countries in Asia. Travel restrictions have been imposed by many countries, including air travel and transport, that have caused and are likely to continue to cause delays in shipment of our products as well as increased logistics costs. If our supply chain continues to be disrupted, we could also experience material and adverse impacts on the availability or cost of components used in our on-premise devices and end-point devices, and to the extent these challenges continue for a prolonged period, we may not be able to provide our customers and channel partners with a sufficient supply of products and devices at price points or with functional characteristics and reliability that meet our customers’ needs. Future repetition of such delays could negatively affect our ability to deliver product to our customers in a timely manner and may harm our business, operating results and hinder our growth.</w:t>
      </w:r>
    </w:p>
    <w:p>
      <w:pPr>
        <w:spacing w:after="0" w:line="13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on third parties, including third parties located in Russia, for some of our software development, quality assurance and operations, and anticipate we will continue to do so for the foreseeable future.</w:t>
      </w:r>
    </w:p>
    <w:p>
      <w:pPr>
        <w:spacing w:after="0" w:line="3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We outsource certain of our software development and design, quality assurance and operations activities to third-party contractors that have employees and consultants in a number of international locations, including Russia. Our dependence on third-party contractors creates numerous risks; in particular, international sanctions imposed as a result of Russia’s invasion of Ukraine in February 2022 could limit our ability to transact with our third-party software development contractors in Russia, which could disrupt or delay current or future planned research and development activities, increase our costs, or force us to shift development efforts to resources in other geographies that may not possess the same level of cost efficiencies. More generally, there is the risk that we may not maintain control or effective management with respect to these business operations. Our agreements with these third-party contractors are either not terminable by them (other than at the end of the term or upon an uncured breach by us) or require at least 30 days’ prior written notice of termination. If we experience problems with our third-party contractors, the costs charged by our third-party contractors increase, or our agreements with our third-party contractors are terminated, we may not be able to develop new solutions, enhance or operate existing solutions or provide customer support in an alternate manner that is equally or more efficient and cost-effective.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6" w:name="page17"/>
    <w:bookmarkEnd w:id="16"/>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A ransomware attack or other security breach could delay or interrupt service to our customers, compromise the integrity of our systems or data that we collect, result in the loss of our intellectual property or confidential information, harm our reputation, or subject us to significant liability.</w:t>
      </w:r>
    </w:p>
    <w:p>
      <w:pPr>
        <w:spacing w:after="0" w:line="51"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Our operations depend on our ability to protect our network from interruption or damage resulting from unauthorized access or entry, computer viruses or malware or other events beyond our control, and our ability to detect any such events. In the past, we may have been subject to undetected distributed denial-of-service, or DDOS cyberattacks, or other forms of attacks by hackers intent on bringing down our services or accessing confidential information, and we may be subject to DDOS and other forms of attacks in the future. Recent developments in the threat landscape include an increased number of cyber extortion and ransomware attacks, with higher financial ransom demand amounts and increasing sophistication and variety of ransomware techniques and methodology. We cannot assure you that our backup systems, regular data backups, physical, technological and organizational security protocols and measures and other procedures that are currently in place, or that may be in place in the future, will be adequate to detect or prevent unauthorized access to our systems, significant damage, system interruption, degradation or failure, or data loss or to respond to a cyberattack once launched. Additionally, hackers may attempt to directly gain access to a customer's on-premise appliance, or their mobile phone, which may delay or interrupt services, or may subject our customers to further security risks, including in relation to any connected household devices a customer might have now or in the future, such as our connected smart security sensors and our partner's connected devices or to our network more generally. Also, our services are web-based, and the amount of data we store for our users on our servers has been increasing as our business has grown.</w:t>
      </w:r>
    </w:p>
    <w:p>
      <w:pPr>
        <w:spacing w:after="0" w:line="8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Despite our ongoing efforts to enhance the implementation of security measures, our infrastructure and those of third parties we rely upon may be vulnerable to hackers, phishing, computer viruses, worms, ransomware other malicious software programs or similarly disruptive problems caused by our customers, employees, consultants or other internet users who attempt to invade public and private data networks. In some cases, we do not have in place disaster recovery facilities for certain ancillary services, such as email delivery of messages. Currently, a majority of our customers authorize us to bill their credit or debit card accounts directly for all transaction fees that we charge. We rely on encryption and authentication technology to ensure secure transmission of confidential information, including customer credit and debit card numbers. Despite our efforts to encrypt and secure transmission of confidential customer information, hackers with sufficiently sophisticated technology or methods may still be able to infiltrate our systems to gain unauthorized access to payment card information. Further, advances in computer capabilities, new discoveries in the field of cryptography or other developments may result in a compromise or breach of the technology we use to protect transaction data. In addition, because the techniques used to obtain unauthorized access to the information systems change frequently, and may not be recognized until launched against a target, we may be unable to anticipate these techniques or to implement adequate preventative measures.</w:t>
      </w:r>
    </w:p>
    <w:p>
      <w:pPr>
        <w:spacing w:after="0" w:line="75"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Additionally, third parties may attempt to fraudulently induce domestic and international employees, consultants or customers into disclosing sensitive information, such as user names, passwords or customer proprietary network information, or CPNI, or other information in order to gain access to our customers' data or to our data. CPNI includes information such as the phone numbers called by a customer, the frequency, duration, and timing of such calls, and any services purchased by the customer, such as call waiting, call forwarding and caller ID, in addition to other information that may appear on a customer's bill. Third parties may also attempt to fraudulently induce employees, consultants or customers into disclosing sensitive information regarding our intellectual property and other confidential business information, or our information technology systems. In addition, because the techniques used to obtain unauthorized access, or to sabotage systems, change frequently and generally are not recognized until launched against a target, we may be unable to anticipate these techniques or to implement adequate preventative measures. Any compromise or perceived compromise of our security could damage our reputation with our end-customers, and could subject us to significant liability, as well as regulatory action, including financial penalties, which would materially adversely affect our brand, results of operations, financial condition, business and prospects.</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see below under “Risks Related to Security, IT Systems and Intellectual Property” for further risks related to security breaches.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7" w:name="page18"/>
    <w:bookmarkEnd w:id="17"/>
    <w:p>
      <w:pPr>
        <w:jc w:val="both"/>
        <w:spacing w:after="0" w:line="278" w:lineRule="auto"/>
        <w:rPr>
          <w:sz w:val="20"/>
          <w:szCs w:val="20"/>
          <w:color w:val="auto"/>
        </w:rPr>
      </w:pPr>
      <w:r>
        <w:rPr>
          <w:rFonts w:ascii="Arial" w:cs="Arial" w:eastAsia="Arial" w:hAnsi="Arial"/>
          <w:sz w:val="18"/>
          <w:szCs w:val="18"/>
          <w:b w:val="1"/>
          <w:bCs w:val="1"/>
          <w:i w:val="1"/>
          <w:iCs w:val="1"/>
          <w:color w:val="auto"/>
        </w:rPr>
        <w:t>The ongoing impact of the COVID-19 pandemic, including any resurgences, could disrupt and cause harm to our business, operating results, or financial condition.</w:t>
      </w:r>
    </w:p>
    <w:p>
      <w:pPr>
        <w:spacing w:after="0" w:line="31"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The COVID-19 pandemic has had a material impact on the United States, Canada, and global economies and could materially impact our business in a number of ways. It remains difficult to predict the full impact of the COVID-19 pandemic on the broader economy and how consumer behavior may change, and whether such change is temporary or permanent. In Northern California, where our corporate headquarters is located, the process of gradually returning our employees to work onsite may be delayed by the occurrence of new and unforeseen developments in the pandemic, which could adversely impact the effectiveness of our organization.</w:t>
      </w:r>
    </w:p>
    <w:p>
      <w:pPr>
        <w:spacing w:after="0" w:line="68"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During the early periods of the pandemic, we experienced an increase in the rate of customer terminations or service cancellations or failures to renew, which we refer to as churn. Although we have seen improvement in our customer churn rate from these increased levels, our churn could again increase in future periods, which may result in a decline to our user growth rate. Moreover, current or potential customers may delay or decrease spending with us, or may not pay us or may delay paying us for previously performed services, due to the lingering effects that the COVID-19 pandemic may have on their business. Given that a significant portion of our revenues today comes from small and medium-sized businesses, these customers may be especially susceptible to negative economic impact stemming from the pandemic and government mandates, which could reduce their demand for our products and services. Current or potential customers and partners may also not be interested in taking sales meetings or cancel existing sales meetings with our sales representatives, which could materially lengthen our sales cycle and slow our sales growth. Traditional “brick-and-mortar” retailers have reduced, and could continue to reduce, purchases of our products as retailers shift focus to online channels, close some of their physical stores and make other operational changes, which may negatively affect our sales and operating results.</w:t>
      </w:r>
    </w:p>
    <w:p>
      <w:pPr>
        <w:spacing w:after="0" w:line="7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duration and extent of the impact from the COVID-19 pandemic on our business will continue to depend on future developments that cannot be accurately forecasted at this time, such as the transmission rate and geographic spread of the disease, the extent and effectiveness of current or future containment actions, the widespread use of effective vaccines, the severity of breakthrough cases and COVID-19 variants, and the impact of these and other factors on our employees, customers, partners, and vendors. If we are not able to respond to and manage the impact of such events effectively and if the macroeconomic conditions of the general economy or the industry in which we operate do not improve, or worsen from present levels, our business, operating results, financial condition and cash flows could be adversely affected. Please see “Management’s Discussion and Analysis of Financial Position and Results of Operations” for additional information regarding the potential impact of the COVID-19 pandemic and associated economic disruptions.</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significantly on retailers and reseller partnerships to sell our products; our failure to effectively develop, manage and maintain these sales channels could materially and adversely affect our revenue and business.</w:t>
      </w:r>
    </w:p>
    <w:p>
      <w:pPr>
        <w:spacing w:after="0" w:line="3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A significant portion of our Ooma Residential and Ooma Business product sales are made through a combination of direct sales and leading retailers such as Amazon, Costco.com, Best Buy and Walmart, as well as reseller partnerships. Our future success depends on our ability to effectively maintain, develop and expand our retail channel and reseller partnership sales as we seek to grow and expand our customer base. We generally do not have long-term contracts with our retailers and reseller partners, and we have in the past and may in the future experience a loss of or reduction in sales through any of these third parties, which could materially reduce our revenue and profit margins. Our competitors may in some cases be effective in causing our current and potential retailers, and reseller partners to favor their services or prevent or reduce sales of our services. If we fail to maintain or develop new relationships with retailers and reseller partners in new markets or expand the number of retailers and reseller partners in existing markets, fail to manage, train, or provide appropriate incentives to our existing retailers and reseller partners, or if they are not successful in their sales efforts, sales of our products and services may decrease and our results of operations would suffer. Furthermore, to the extent these retailers or reseller partners are negatively impacted by the effects of the COVID-19 pandemic, including declaring bankruptcy, or otherwise affected by strategic transactions, our sales may also be adversely impacted as a result.</w:t>
      </w:r>
    </w:p>
    <w:p>
      <w:pPr>
        <w:spacing w:after="0" w:line="75"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In addition, our Talkatone application relies significantly on the Apple and Google app stores for distribution. Its future success depends on our continued ability to distribute Talkatone through these app stores and increase its visibility therein. If Apple or Google determine that Talkatone is non-compliant with their app store vendor policies, they may revoke our rights to sell Talkatone through their app store at any time, which could adversely affect our revenue.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8"/>
          <w:szCs w:val="18"/>
          <w:b w:val="1"/>
          <w:bCs w:val="1"/>
          <w:i w:val="1"/>
          <w:iCs w:val="1"/>
          <w:color w:val="auto"/>
        </w:rPr>
        <w:t>We face competition in our markets by our competitors and may lack sufficient financial or other resources to compete successfully. Mergers or other strategic transactions involving our competitors could adversely affect our ability to compete effectively and harm our results of operations.</w:t>
      </w:r>
    </w:p>
    <w:p>
      <w:pPr>
        <w:spacing w:after="0" w:line="51"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The cloud-based communications and connected services industries are highly competitive and we expect that competition will continue to be intense in the future. We face continued competition from established communications providers, such as AT&amp;T Inc., Comcast Corporation, Verizon Communications Inc. and Rogers Communications Inc; as well as traditional on-premise, hardware business communications providers, mobile communications app companies providing “over-the-top” solutions, large internet companies that offer services with features that compete with some of what we offer, and certain other communications companies. These companies currently or may in the future host their solutions through the cloud.</w:t>
      </w:r>
    </w:p>
    <w:p>
      <w:pPr>
        <w:spacing w:after="0" w:line="71"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In addition, some of our competitors have been acquired, and may in the future consolidate with or be acquired by, other companies and competitors. Some of our competitors may enter into new alliances with each other or may establish or strengthen cooperative relationships with systems integrators, third-party consulting firms or other parties. Any such consolidation, acquisition, alliance or cooperative relationship could adversely affect our ability to compete effectively and lead to pricing pressure and our loss of market share, and could result in a competitor with greater financial, technical, marketing, service and other resources, all of which could harm our business, results of operations and financial condition.</w:t>
      </w:r>
    </w:p>
    <w:p>
      <w:pPr>
        <w:spacing w:after="0" w:line="7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Furthermore, increased competition may result in aggressive business tactics by our competitors, including: offering products similar to our platforms and solutions on a bundled basis at no charge; announcing competing products combined with extensive marketing efforts; providing financial incentives to consumers; and asserting intellectual property rights irrespective of the validity of the claims. Our retail partners may offer the products and services of competing companies, which would adversely affect our business. Competition from other companies may also adversely affect our negotiations with service providers and suppliers, including, in some cases, requiring us to lower our prices. We may not be able to compete successfully with the offerings and sales tactics of other companies, which could result in the loss of customers and, as a result, our revenue and profitability could be adversely affected.</w:t>
      </w:r>
    </w:p>
    <w:p>
      <w:pPr>
        <w:spacing w:after="0" w:line="102"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b w:val="1"/>
          <w:bCs w:val="1"/>
          <w:i w:val="1"/>
          <w:iCs w:val="1"/>
          <w:color w:val="auto"/>
        </w:rPr>
        <w:t>To deliver our services, we rely on third parties for our network connectivity and co</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location facilities for certain features in our services and for certain elements of providing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-222250</wp:posOffset>
            </wp:positionV>
            <wp:extent cx="6413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45"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expect that we will continue to rely on third-party service providers for hosting, internet access and other services that are vital to our service offering for the foreseeable future. For example, Equinix, Inc. and others provide data center facilities, and Inteliquent and others provide origination services. Inteliquent is also our primary provider of 911 services. We also rely on third-party services for our SMS and speech-to-text services which are sole-sourced. If any of these network service providers stop providing us with access to their infrastructure, fail to provide these services to us on a cost-effective basis, cease operations, or otherwise terminate these services, the delay caused by qualifying and switching to another third-party network service provider, if one is available, could have a material adverse effect on our business and results of operations.</w:t>
      </w:r>
    </w:p>
    <w:p>
      <w:pPr>
        <w:spacing w:after="0" w:line="77"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We may be required to transfer our servers to new data center facilities if we are unable to renew our leases on acceptable terms, if at all, or the owners of the facilities decide to close their facilities, and we may incur significant costs and possible service interruption in connection with doing so.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w:t>
      </w:r>
    </w:p>
    <w:p>
      <w:pPr>
        <w:spacing w:after="0" w:line="71"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If problems occur with any of these third-party network or service providers, it may cause errors or reduced quality in our services, and we could encounter difficulty identifying the source of the problem. The occurrence of errors or reduced quality in our service, whether caused by our systems or a third-party network or service provider, may result in the loss of our existing customers, delay or loss of market acceptance of our services, termination of our relationships and agreements with our resellers or liability for failure to meet service level agreements, and may seriously harm our business and results of operations.</w:t>
      </w:r>
    </w:p>
    <w:p>
      <w:pPr>
        <w:spacing w:after="0" w:line="68"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We rely on purchased or leased hardware and software licensed from third parties in order to offer our service. In some cases, we integrate third-party licensed software components into our platforms. This hardware and software may not continue to be available at reasonable prices or on commercially reasonable terms, or at all. Any loss of the right to use any of this hardware or software could significantly increase our expenses and otherwise result in delays in the provisioning of our service until equivalent technology is either developed by us, or, if available, is identified, obtained and integrated. Any errors or defects in third-party hardware or software could result in errors or a failure of our service which could harm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9" w:name="page20"/>
    <w:bookmarkEnd w:id="19"/>
    <w:p>
      <w:pPr>
        <w:jc w:val="both"/>
        <w:ind w:firstLine="374"/>
        <w:spacing w:after="0" w:line="242" w:lineRule="auto"/>
        <w:rPr>
          <w:sz w:val="20"/>
          <w:szCs w:val="20"/>
          <w:color w:val="auto"/>
        </w:rPr>
      </w:pPr>
      <w:r>
        <w:rPr>
          <w:rFonts w:ascii="Arial" w:cs="Arial" w:eastAsia="Arial" w:hAnsi="Arial"/>
          <w:sz w:val="18"/>
          <w:szCs w:val="18"/>
          <w:color w:val="auto"/>
        </w:rPr>
        <w:t>We also contract with one or more third parties to provide enhanced 911, or E-911, services, including assistance in routing emergency calls and terminating E-911 calls. Our providers operate a national call center that is available 24 hours a day, seven days a week, to receive certain emergency calls and maintain public service answering point, or PSAP, databases for the purpose of deploying and operating E-911 services. On mobile devices, we generally rely on the underlying cellular or wireless carrier to provide E-911 services. Any failure to perform, including interruptions in service, by our vendors, could cause failures in our customers’ access to E-911 services and expose us to significant liability and damage our reputation.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services could harm our reputation, result in significant costs to us and impair our ability to sell our services.</w:t>
      </w:r>
    </w:p>
    <w:p>
      <w:pPr>
        <w:spacing w:after="0" w:line="1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Because our technology platforms are complex, incorporate a variety of new computer hardware, and the platforms continue to evolve, our services may have errors, defects or required updates that are identified after customers begin using such services, which could result in unanticipated service interruptions. Although we test our services to detect and correct errors and defects before their initial release and before we make updates or other changes to such services, we have occasionally experienced significant service interruptions as a result of undetected errors or defects and may experience future interruptions of service if we fail to detect and correct errors and defects. In addition, updates to our hardware and/or software due to changes in third-party service providers may be required from time to time. For example, some of our Ooma Residential customers will require new hardware in order for service continuation beginning in July 2022, and while we are in the process of shipping such new hardware to such customers, some customers nevertheless may experience service interruptions. Furthermore, the costs incurred in correcting root causes for service outages and updating our hardware and/or software may be substantial and these and other related consequences could negatively impact our results of operations.</w:t>
      </w:r>
    </w:p>
    <w:p>
      <w:pPr>
        <w:spacing w:after="0" w:line="7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currently serve the majority of our customers from data centers located in Northern California, Texas and Virginia, where we lease space from Equinix, Inc. We also lease data center space in certain cities in Europe. These facilities and the procedures we have implemented to restore services quickly in the event of a service outage, by themselves, will not prevent future outages. Any damage to, or failure of, these facilities, the communications network providers with whom we or they contract or with the systems by which our communications providers allocate capacity among their customers, including us, could result in interruptions in our service. Additionally, in connection with the expansion or consolidation of our existing data center facilities, we may move or transfer our data and our customers’ data to other data centers. Despite precautions we take during this process, any unsuccessful data transfers may impair or cause disruptions in the delivery of our service.</w:t>
      </w:r>
    </w:p>
    <w:p>
      <w:pPr>
        <w:spacing w:after="0" w:line="7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Despite precautions taken at our hosting facilities, the occurrence of a natural disaster or an act of terrorism or other unanticipated problems at these facilities could result in lengthy interruptions in our service. Even with the disaster recovery arrangements that we have in place, our service could be interrupted. Any defects in, or unavailability of, the components of our platforms that cause interruptions of our services could, among other things: cause a reduction in revenue or a delay in market acceptance of our services; require us to issue refunds to our customers or expose us to claims for damages; cause us to lose existing customers and make it more difficult to attract new customers; divert our development resources or require us to make extensive changes to our software, which would increase our expenses and slow innovation; increase our technical support costs; and harm our reputation and brand.</w:t>
      </w:r>
    </w:p>
    <w:p>
      <w:pPr>
        <w:spacing w:after="0" w:line="7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b w:val="1"/>
          <w:bCs w:val="1"/>
          <w:i w:val="1"/>
          <w:iCs w:val="1"/>
          <w:color w:val="auto"/>
        </w:rPr>
        <w:t>We rely on third parties to provide the majority of our customer service and support representatives. If these third parties do not provide our customers with reliable, high</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quality service, our reputation and our business will be harmed, and we may be exposed to significant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-222885</wp:posOffset>
            </wp:positionV>
            <wp:extent cx="6413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44" w:lineRule="exact"/>
        <w:rPr>
          <w:sz w:val="20"/>
          <w:szCs w:val="20"/>
          <w:color w:val="auto"/>
        </w:rPr>
      </w:pPr>
    </w:p>
    <w:p>
      <w:pPr>
        <w:jc w:val="both"/>
        <w:ind w:firstLine="374"/>
        <w:spacing w:after="0" w:line="207" w:lineRule="exact"/>
        <w:rPr>
          <w:sz w:val="20"/>
          <w:szCs w:val="20"/>
          <w:color w:val="auto"/>
        </w:rPr>
      </w:pPr>
      <w:r>
        <w:rPr>
          <w:rFonts w:ascii="Arial" w:cs="Arial" w:eastAsia="Arial" w:hAnsi="Arial"/>
          <w:sz w:val="18"/>
          <w:szCs w:val="18"/>
          <w:color w:val="auto"/>
        </w:rPr>
        <w:t>We offer customer support through both our online account management website and our toll-free customer support number. Our customer support is currently provided via a third-party provider located in the Philippines, as well as our employees in the U.S. The ability to support our customers was disrupted by the onset of the COVID-19 pandemic, and may be in the future disrupted by other natural disasters, inclement weather conditions, civil unrest, strikes, acts of terrorism, breaches of data security, and other adverse events in the Philippines. Furthermore, as we expand our operations internationally, we will need to make significant expenditures and investments in our customer service and support to adequately address the complex needs of international customers, such as support in multiple foreign languages. We currently offer support almost exclusively in English. In addition, a significant service outage may cause a high volume of customer support inquiries, and our third</w:t>
      </w:r>
      <w:r>
        <w:rPr>
          <w:rFonts w:ascii="MS PGothic" w:cs="MS PGothic" w:eastAsia="MS PGothic" w:hAnsi="MS PGothic"/>
          <w:sz w:val="18"/>
          <w:szCs w:val="18"/>
          <w:color w:val="auto"/>
        </w:rPr>
        <w:t>‑</w:t>
      </w:r>
      <w:r>
        <w:rPr>
          <w:rFonts w:ascii="Arial" w:cs="Arial" w:eastAsia="Arial" w:hAnsi="Arial"/>
          <w:sz w:val="18"/>
          <w:szCs w:val="18"/>
          <w:color w:val="auto"/>
        </w:rPr>
        <w:t>party customer service center may not be able to respond to such inquiries in a timely manner. Industry consolidation among providers of services to us may impact our ability to obtain these services or increase our costs for these services.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If we fail to continue developing our brand or our reputation is harmed, our business may suffer.</w:t>
      </w:r>
    </w:p>
    <w:p>
      <w:pPr>
        <w:spacing w:after="0" w:line="10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believe that continuing to strengthen our current brand will be critical to achieving widespread acceptance of our services and will require continued focus on active marketing efforts. The demand for and cost of online and traditional advertising have been increasing and may continue to increase. Accordingly, we may need to increase our investment in, and devote greater resources to, advertising, marketing, and other efforts to create and maintain brand loyalty among users. Brand promotion activities may not yield increased revenue, and even if they do, any increased revenue may not offset the expenses incurred in building our brands. If we fail to promote and maintain our brand, or if we incur substantial expense in an unsuccessful attempt to promote and maintain our brands, our business could be materially and adversely affected.</w:t>
      </w:r>
    </w:p>
    <w:p>
      <w:pPr>
        <w:spacing w:after="0" w:line="77"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Our services, as well as those of our competitors, are regularly reviewed and commented upon by online and social media sources, as well as computer and other business publications. Negative reviews, or reviews in which our competitors’ products and services are rated more highly than our solutions, could negatively affect our brand and reputation. From time to time, our customers have expressed dissatisfaction with our services, including dissatisfaction with our customer support, our billing policies and the way our services operate. If we do not handle customer complaints effectively, our brand and reputation may suffer, we may lose our customers’ confidence, and they may choose to terminate, reduce or not to renew their subscriptions. In addition, many of our customers participate in social media and online blogs about internet-based services, including our services, and our success depends in part on our ability to minimize negative and generate positive customer feedback through such online channels where existing and potential customers seek and share information. If actions we take or changes we make to our services upset these customers, their blogging could negatively affect our brand and reputation. Complaints or negative publicity about our services or customer service could materially and adversely impact our ability to attract and retain customers and our business, financial condition and results of operations.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able to effectively manage our growth and the increased complexity of our business, which could negatively impact our brand, financial performance and increase the risk of investing in our stock.</w:t>
      </w:r>
    </w:p>
    <w:p>
      <w:pPr>
        <w:spacing w:after="0" w:line="3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We have experienced substantial growth in our business, including an increase in the number of customers we consider to be our core users. This growth has placed and may continue to place significant demands on our management and our operational and financial infrastructure. As our operations grow in size, scope and complexity, we will need to increase our sales and marketing efforts, add additional sales and marketing personnel worldwide and improve and upgrade our systems and infrastructure to attract, service, and retain an increasing number of users. For example, we expect the volume of simultaneous calls to increase significantly as our user base grows. Our network hardware and software may not be able to accommodate this additional simultaneous call volume. The expansion of our systems and infrastructure will require us to commit substantial financial, operational and technical resources in advance of an increase in the volume of business, with no assurance that the volume of business will increase. Any such additional capital investments will increase our cost base. Continued growth could also strain our ability to maintain reliable service levels for our users, develop and improve our operational, financial and management controls, enhance our reporting systems and procedures and recruit, train, and retain highly skilled personnel. If we fail to achieve the necessary level of efficiency in our organization as we grow, and if the current and future members of our management team do not effectively scale with this growth, our business, results of operations and financial condition could be materially and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rates of growth may decline in the future.</w:t>
      </w:r>
    </w:p>
    <w:p>
      <w:pPr>
        <w:spacing w:after="0" w:line="102"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Our user growth and revenue growth rates may decline over time as the size of our active user base increases, and it is possible that the size of our active user base may fluctuate or decline in one or more markets, particularly as we achieve greater market penetration. Our revenue growth rate may generally decline over time as our revenue increases to higher levels. As our growth rates decline, investors' perceptions of our business may be adversely affected and the trading price of our common stock could decline.</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could suffer if we cannot obtain or retain direct inward dialing numbers, or DIDs, are prohibited from obtaining local or toll-free numbers, or are limited to distributing local or toll-free numbers to only certain customers.</w:t>
      </w:r>
    </w:p>
    <w:p>
      <w:pPr>
        <w:spacing w:after="0" w:line="3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Our future success depends on our ability to procure large quantities of local and toll-free DIDs in the U.S. and foreign countries in desirable locations at a reasonable cost and without restrictions. Our ability to procure and distribute DIDs depends on factors outside of our control, such as applicable regulations, the practices of the communications carriers that provide DIDs, the cost of these DIDs, and the level of demand for new DIDs. Due to their limited availability, there are certain popular area code prefixes we generally cannot obtain. Our inability to acquire DIDs for our operations would make our services less attractive to potential customers in the affected local geographic areas. In addition, future growth in our customer base and the customer bases of our competitors will increase our dependence on needing sufficiently large quantities of DIDs.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1" w:name="page22"/>
    <w:bookmarkEnd w:id="21"/>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effectively process local number and toll-free number portability provisioning in a timely manner, our growth may be negatively affected.</w:t>
      </w:r>
    </w:p>
    <w:p>
      <w:pPr>
        <w:spacing w:after="0" w:line="3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We support local number and toll-free number portability, which allows our customers to transfer to us and thereby retain their existing phone numbers when subscribing to our services. During the number transfer process, our new customers must maintain both our service and their existing phone service. We depend on third-party carriers to transfer phone numbers, a process we do not control, and these third-party carriers may refuse or substantially delay the transfer of these numbers to us. Local number portability is considered an important feature by many potential customers, and if we fail to reduce any related delays, we may experience increased difficulty in acquiring new customers. Moreover, the FCC requires us to comply with specified number porting timeframes when customers leave our service for the services of another provider. In Canada, the CRTC has imposed a similar number portability requirement on service providers like us. If we, or our third-party carriers, are unable to process number portability requests within the requisite timeframes, we could be subject to fines and penalties. Additionally, in the U.S., both customers and carriers may seek relief from the relevant state public utility commission, the FCC, or in state or federal court for violation of local number portability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sustain profitability in the future.</w:t>
      </w:r>
    </w:p>
    <w:p>
      <w:pPr>
        <w:spacing w:after="0" w:line="1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We have incurred net losses since our inception, including net losses of approximately $1.8 million in fiscal 2022. We have expended significant resources to develop, market, promote, and sell our products and solutions and we expect to continue investing for future growth. Although we generated cash from operations of $6.7 million for fiscal 2022, we cannot assure you that our operating cash flow will remain positive in the future as a result of our increased expenditures. Achieving profitability will require us to increase revenue, manage our cost structure and avoid significant liabilities. Revenue growth may slow, revenue may decline or we may incur significant losses in the future for a number of possible reasons, including general macroeconomic conditions, increasing competition (including competitive pricing pressures), a decrease in the growth of the markets in which we compete, or failure for any reason to continue capitalizing on growth opportunities. Additionally, we may encounter unforeseen operating expenses, difficulties, complications, delays, service delivery and quality problems and other unknown factors that may result in losses in future periods. If these losses exceed our expectations or our revenue growth expectations are not met in future periods, our financial performance will be harmed and our stock price could be volatile or decline.</w:t>
      </w: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quarterly and annual results have fluctuated in the past and may continue to do so in the future. As a result, we may fail to meet or to exceed the expectations of research analysts or investors, which could cause our stock price to fluctuate.</w:t>
      </w:r>
    </w:p>
    <w:p>
      <w:pPr>
        <w:spacing w:after="0" w:line="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quarterly and annual results of operations and cash flows, have varied historically from period to period, and we expect that they will continue to fluctuate due to a variety of factors, many of which are outside of our control, including:</w:t>
      </w:r>
    </w:p>
    <w:p>
      <w:pPr>
        <w:spacing w:after="0" w:line="5" w:lineRule="exact"/>
        <w:rPr>
          <w:sz w:val="20"/>
          <w:szCs w:val="20"/>
          <w:color w:val="auto"/>
        </w:rPr>
      </w:pPr>
    </w:p>
    <w:p>
      <w:pPr>
        <w:ind w:left="880" w:hanging="508"/>
        <w:spacing w:after="0" w:line="252" w:lineRule="auto"/>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existing customers and attract new customers, sell premium solutions to our existing customers and introduce new solutions;</w:t>
      </w:r>
    </w:p>
    <w:p>
      <w:pPr>
        <w:spacing w:after="0" w:line="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our competitors, including pricing changes or the introduction of new solutions and products;</w:t>
      </w:r>
    </w:p>
    <w:p>
      <w:pPr>
        <w:spacing w:after="0" w:line="13" w:lineRule="exact"/>
        <w:rPr>
          <w:rFonts w:ascii="Times New Roman" w:cs="Times New Roman" w:eastAsia="Times New Roman" w:hAnsi="Times New Roman"/>
          <w:sz w:val="18"/>
          <w:szCs w:val="18"/>
          <w:color w:val="auto"/>
        </w:rPr>
      </w:pPr>
    </w:p>
    <w:p>
      <w:pPr>
        <w:ind w:left="880" w:hanging="508"/>
        <w:spacing w:after="0" w:line="247" w:lineRule="auto"/>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successfully penetrate the communications and connected services markets for businesses, residential and mobile;</w:t>
      </w: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monthly, annual and multi-year subscriptions at any given time;</w:t>
      </w:r>
    </w:p>
    <w:p>
      <w:pPr>
        <w:spacing w:after="0" w:line="13"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cost and effectiveness of our advertising and marketing efforts;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operating cost and capital expenditures related to the operation, maintenance, and expansion of our business;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disruptions in our supply chain;</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our decisions with regard to product resource allocation;</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seasonality of consumers’ purchasing patterns and seasonality of advertising patterns;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service outages or security breaches and any related impact on our reputation;</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accurately forecast revenue and appropriately plan our expenses;</w:t>
      </w:r>
    </w:p>
    <w:p>
      <w:pPr>
        <w:spacing w:after="0" w:line="21" w:lineRule="exact"/>
        <w:rPr>
          <w:rFonts w:ascii="Times New Roman" w:cs="Times New Roman" w:eastAsia="Times New Roman" w:hAnsi="Times New Roman"/>
          <w:sz w:val="18"/>
          <w:szCs w:val="18"/>
          <w:color w:val="auto"/>
        </w:rPr>
      </w:pPr>
    </w:p>
    <w:p>
      <w:pPr>
        <w:jc w:val="both"/>
        <w:ind w:left="880" w:hanging="508"/>
        <w:spacing w:after="0" w:line="243" w:lineRule="auto"/>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transact with our third-party software development contractors in Russia, including any disruptions or delays in research and development activities due to international sanctions imposed as a result of Russia’s invasion of Ukraine in February 2022;</w:t>
      </w:r>
    </w:p>
    <w:p>
      <w:pPr>
        <w:jc w:val="both"/>
        <w:ind w:left="880" w:hanging="508"/>
        <w:spacing w:after="0" w:line="239" w:lineRule="auto"/>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quarantines, travel limitations, or business disruptions in regions affecting our operations, including our field sales and installation services teams, or the operations of third parties upon which we rely, stemming from the actual, imminent or perceived outbreaks of epidemics or pandemics;</w:t>
      </w:r>
    </w:p>
    <w:p>
      <w:pPr>
        <w:spacing w:after="0" w:line="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defending and resolving intellectual property infringement and other claims;</w:t>
      </w:r>
    </w:p>
    <w:p>
      <w:pPr>
        <w:spacing w:after="0" w:line="13"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regulations, or accounting rules;</w:t>
      </w:r>
    </w:p>
    <w:p>
      <w:pPr>
        <w:spacing w:after="0" w:line="21" w:lineRule="exact"/>
        <w:rPr>
          <w:rFonts w:ascii="Times New Roman" w:cs="Times New Roman" w:eastAsia="Times New Roman" w:hAnsi="Times New Roman"/>
          <w:sz w:val="18"/>
          <w:szCs w:val="18"/>
          <w:color w:val="auto"/>
        </w:rPr>
      </w:pPr>
    </w:p>
    <w:p>
      <w:pPr>
        <w:ind w:left="880" w:right="20" w:hanging="508"/>
        <w:spacing w:after="0" w:line="259" w:lineRule="auto"/>
        <w:tabs>
          <w:tab w:leader="none" w:pos="8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cost of developing or acquiring technologies, services or businesses and our ability to successfully manage any such acquisitions;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2" w:name="page23"/>
    <w:bookmarkEnd w:id="22"/>
    <w:p>
      <w:pPr>
        <w:ind w:left="880" w:hanging="508"/>
        <w:spacing w:after="0" w:line="252" w:lineRule="auto"/>
        <w:tabs>
          <w:tab w:leader="none" w:pos="8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how well we execute on our strategy and operating plans and the impact of changes in our business model that could adversely impact our results of operations and financial condition; and</w:t>
      </w:r>
    </w:p>
    <w:p>
      <w:pPr>
        <w:ind w:left="880" w:hanging="508"/>
        <w:spacing w:after="0"/>
        <w:tabs>
          <w:tab w:leader="none" w:pos="8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worldwide economic, industry, and market conditions, such as higher levels of inflation.</w:t>
      </w:r>
    </w:p>
    <w:p>
      <w:pPr>
        <w:spacing w:after="0" w:line="9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Any one of the factors above, or the cumulative effect of some or all of the factors referred to above, may result in significant fluctuations in our quarterly and annual results of operations and cash flows. This variability and unpredictability could result in our failure to meet our internal operating plan or the expectations of securities analysts or investors for any period, which could cause our stock price to decline. In addition, a significant percentage of our operating expenses is fixed in nature and is based on forecasted revenue trends. Accordingly, in the event of revenue shortfalls, we may not be able to mitigate the negative impact on net income (loss) and margins in the short term. If we fail to meet or exceed the expectations of research analysts or investors, the market price of our shares could fall substantially and we could face costly lawsuits, including securities class-action suits.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additional tariffs or other restrictions are placed on our goods imported from other countries, or if the United States were to withdraw from or modify existing trade agreements or regulations, our revenue, gross margin, and results of operations may be materially harmed.</w:t>
      </w:r>
    </w:p>
    <w:p>
      <w:pPr>
        <w:spacing w:after="0" w:line="5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During 2019, the U.S. federal government announced new and increased tariffs on certain Chinese imported goods, and China has imposed tariffs in response to the actions of the U.S. Such actions subject a wide range of our products to tariffs and increased existing tariffs on certain of our products, which have negatively impacted, and could continue to negatively impact our gross margins. If additional tariffs or other restrictions are placed on goods imported into the United States from China or other countries, or any related counter-measures are taken by China or other countries, our revenue and results of operations may be materially harmed. We cannot assure you that the current administration will not continue to increase tariffs on imports from China or alter trade agreements and terms between China and the United States, which may include limiting trade with China.</w:t>
      </w:r>
    </w:p>
    <w:p>
      <w:pPr>
        <w:spacing w:after="0" w:line="7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Trade restrictions, including tariffs, quotas, embargoes, safeguards and customs restrictions, could increase the cost or reduce the supply of products available to us, or could increase the lead times of certain components and equipment that we may purchase from foreign vendors located in China and other countries, or may require us to modify our supply chain organization or other current business practices, any of which could harm our business, financial condition and results of operations. For example, the U.S. National Defense Authorization Act for Fiscal Year 2019, imposed a ban on the use of certain surveillance, telecommunications, and other equipment manufactured in China, to help protect critical infrastructure and other sites deemed to be sensitive for national security purposes in the U.S. While this ban has not had a direct effect on our supply chain, any expansion to this ban or imposition of any similar bans by the U.S. federal government may require us to find new sources of system assembly, which may result in higher costs and disruption to our business.</w:t>
      </w:r>
    </w:p>
    <w:p>
      <w:pPr>
        <w:spacing w:after="0" w:line="72"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We are dependent on international trade agreements and regulations, such as the United States-Mexico-Canada Agreement, or USMC. If the United States were to withdraw from or materially modify certain international trade agreements or regulations, our business and operating results could be materially and adversely affected and our customer relationships in Canada and other countries could be harmed.</w:t>
      </w:r>
    </w:p>
    <w:p>
      <w:pPr>
        <w:spacing w:after="0" w:line="6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 significant portion of our revenues today come from small and medium-sized businesses, which may have fewer financial resources to weather an economic downturn.</w:t>
      </w:r>
    </w:p>
    <w:p>
      <w:pPr>
        <w:spacing w:after="0" w:line="3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A significant portion of our revenues today comes from small and medium-sized businesses. These customers may be more susceptible to negative impact from economic downturns (including short- to intermediate-term economic disruption caused by catastrophic events such as the COVID-19 pandemic) than larger, more established businesses as these businesses typically have fewer financial resources than larger entities. As the majority of our customers pay for our subscriptions through credit and debit cards, weakness in certain segments of the credit markets and in the U.S. and global economies has resulted in and may in the future result in increased numbers of rejected credit and debit card payments and business failures, which could materially affect our business by increased customer default or cancellations. If small and medium-sized businesses experience financial hardship or declare bankruptcy as a result of a weak economy or for any other reason, the overall demand for our subscriptions could be materially and adversely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spacing w:after="0" w:line="278" w:lineRule="auto"/>
        <w:rPr>
          <w:sz w:val="20"/>
          <w:szCs w:val="20"/>
          <w:color w:val="auto"/>
        </w:rPr>
      </w:pPr>
      <w:r>
        <w:rPr>
          <w:rFonts w:ascii="Arial" w:cs="Arial" w:eastAsia="Arial" w:hAnsi="Arial"/>
          <w:sz w:val="18"/>
          <w:szCs w:val="18"/>
          <w:b w:val="1"/>
          <w:bCs w:val="1"/>
          <w:i w:val="1"/>
          <w:iCs w:val="1"/>
          <w:color w:val="auto"/>
        </w:rPr>
        <w:t>If we are not able to manage our inventory levels and purchase commitments effectively, we may experience excess inventory levels, inventory obsolescence, or shortages of inventory that could adversely affect our results of operations.</w:t>
      </w:r>
    </w:p>
    <w:p>
      <w:pPr>
        <w:spacing w:after="0" w:line="3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Our vendor-supplied on-premise devices and end -point devices frequently have lead times of several months for delivery and are built based on our estimates of future demand. Our ability to accurately forecast demand is affected by many factors, including an increase or decrease in customer demand for our products and services, changes in consumer preferences, market acceptance of new product and service introductions by us and our competitors, levels of inventory held by channel partners, sales promotional activities by us or our competitors, and unanticipated changes in general market demand and macro-economic conditions. In addition, because we rely on third-party contract manufacturers and other vendors for the supply of our devices and components, our inventory levels are subject to the conditions regarding the timing of purchase orders and delivery dates not within our control.</w:t>
      </w:r>
    </w:p>
    <w:p>
      <w:pPr>
        <w:spacing w:after="0" w:line="77"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It is likely that from time to time we will have either an excess or shortage of product inventory. For example, in recent periods, we have increased our inventory levels and non-cancelable purchase commitments to third party contract manufacturers and other suppliers to mitigate supply disruptions caused by component shortages, longer lead times and increased transportation uncertainty. These increased levels may result in write-down charges from excess or obsolete inventory, charges from excess purchase commitments, the sale of inventory at discounted prices, and other actions, which may cause our gross margin to decline and harm our reputation and brand. Conversely, insufficient levels of inventory may negatively affect relations with customers. For instance, our customers rely upon our ability to meet committed delivery dates, and any disruption in the supply of our services could result in loss of customers or harm to our ability to attract new customers. Retailers may elect to return any unsold inventory without any penalty, which could result in excess inventory charges. Any of these factors could have a material adverse effect on our business, financial condition or results of operations.</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lose key members of our management team and other key employees, and may be unable to attract and retain employees we need to support our operations and growth.</w:t>
      </w:r>
    </w:p>
    <w:p>
      <w:pPr>
        <w:spacing w:after="0" w:line="3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Our future performance depends on the continued services and contributions of our senior management and other key employees to execute on our business plan, and to identify and pursue opportunities and services innovations. The loss of services of senior management or other key employees could significantly delay or prevent the achievement of our development and strategic objectives. The replacement of any of these senior management personnel would likely involve significant time and costs, and such loss could significantly delay or prevent the achievement of our business objectives. Many members of our senior management have been our employees for many years and therefore have significant experience and understanding of our business that would be difficult to replace. Our inability to attract and retain the necessary personnel could adversely affect our business, financial condition or results of business. We do not maintain key person insurance for any of our personnel.</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expand through acquisitions of, or investments in, other companies, each of which may divert our management’s attention, result in additional dilution to our stockholders, increase expenses, disrupt our operations and harm our results of operations.</w:t>
      </w:r>
    </w:p>
    <w:p>
      <w:pPr>
        <w:spacing w:after="0" w:line="5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Our business strategy may, from time to time, include acquiring or investing in complementary services, technologies or businesses.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customers or investors. If we fail to successfully integrate such acquisitions, or the technologies associated with such acquisitions, the revenue and operating results of the combined company could be adversely affected. Acquisitions may disrupt our ongoing operations, divert management from their primary responsibilities, subject us to additional liabilities, increase our expenses and adversely impact our business, financial condition, operating results and cash flows. We may not successfully evaluate or utilize the acquired technology and accurately forecast the financial impact of an acquisition transaction, including accounting charges.</w:t>
      </w:r>
    </w:p>
    <w:p>
      <w:pPr>
        <w:spacing w:after="0" w:line="7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debt it would result in increased fixed obligations and could also subject us to covenants or other restrictions that would impede our ability to manage our operations. In addition, our future operating results may be impacted by performance earnouts or contingent payments. Furthermore, acquisitions may require large one-time charges and can result in increased debt or contingent liabilities, adverse tax consequences, additional stock-based compensation expense and the recording and subsequent amortization or impairments of amounts related to certain purchased intangible assets, any of which could negatively impact our future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4" w:name="page25"/>
    <w:bookmarkEnd w:id="24"/>
    <w:p>
      <w:pPr>
        <w:jc w:val="both"/>
        <w:ind w:firstLine="374"/>
        <w:spacing w:after="0" w:line="247" w:lineRule="auto"/>
        <w:rPr>
          <w:sz w:val="20"/>
          <w:szCs w:val="20"/>
          <w:color w:val="auto"/>
        </w:rPr>
      </w:pPr>
      <w:r>
        <w:rPr>
          <w:rFonts w:ascii="Arial" w:cs="Arial" w:eastAsia="Arial" w:hAnsi="Arial"/>
          <w:sz w:val="18"/>
          <w:szCs w:val="18"/>
          <w:color w:val="auto"/>
        </w:rPr>
        <w:t>When we enter into strategic transactions in which we acquire other companies, we cannot guarantee we will be able to successfully integrate the teams, assets or business of these target companies into our business, that we will be able to fully recover the costs of such transactions, that we will retain existing key customer and partner relationships, that we will be successful in leveraging such strategic transactions into increased business for our products, or that we will otherwise be able to achieve the intended results of the acquisitions.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secure additional financing on favorable terms, or at all, to meet our future capital needs.</w:t>
      </w:r>
    </w:p>
    <w:p>
      <w:pPr>
        <w:spacing w:after="0" w:line="102"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We intend to continue making expenditures and investments to support the growth of our business. In the future, we may require additional capital to pursue our business objectives and to respond to business opportunities, challenges, or unforeseen circumstances, including the need to develop new solutions or enhance our existing solutions, enhance our operating infrastructure, and acquire complementary businesses and technologies. Accordingly, we may decide to engage in equity or debt financings, draw down under our existing credit facility or enter into new credit facilities to secure additional funds. However, additional funds may not be available when we need them on terms acceptable to us, or at all. For example, our existing credit facility contains affirmative and negative covenants relating to our capital raising activities and other financial and operational matters, including covenants which may limit our ability to, among other things, incur additional indebtedness and liens, make certain investments, merge or consolidate with other entities and make certain dispositions. Any debt financing we secure in the future could involve further restrictive covenants, which may make it more difficult for us to obtain additional capital and to pursue business opportunities. In addition, volatility in the credit markets may have an adverse effect on our ability to obtain debt financing. If we raise additional funds through further issuances of equity or convertible debt securities, our existing stockholders could suffer significant dilution, and the trading price of our common stock would likely decline. Additionally, any new equity securities we issue could have rights, preferences, and privileges superior to those of holders of our common stock. If we are unable to obtain adequate financing under our credit facility or alternative sources on terms satisfactory to us, our ability to continue pursuing our business objectives and to respond to business opportunities, challenges or unforeseen circumstances could be significantly limited, and our business, results of operations, financial condition and prospects could be materially and adversely affected, and the trading price of our common stock would likely decline. In the event additional financing is required from outside sources, we may not be able to raise it on terms acceptable to us or at all.</w:t>
      </w:r>
    </w:p>
    <w:p>
      <w:pPr>
        <w:spacing w:after="0" w:line="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develop, acquire and/or sell new products, services or applications on a timely and cost-effective basis, our business, financial condition, and results of operations may be materially and adversely affected.</w:t>
      </w:r>
    </w:p>
    <w:p>
      <w:pPr>
        <w:spacing w:after="0" w:line="31"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The cloud-based communications and connected services industries are characterized by rapid changes in customer requirements, frequent introductions of new and enhanced services, and continuing and rapid technological advancement. To compete successfully in these emerging markets, we must anticipate and adapt to unpredictable technological changes and evolving industry standards and continue to design, develop, manufacture and sell new and enhanced services and products that provide increasingly higher levels of performance and reliability at lower cost. For fiscal 2022, we derived approximately 49% and 49% of our revenue from Ooma Residential and Ooma Business, respectively, and expect they will continue to account for most of our revenue for the foreseeable future.</w:t>
      </w:r>
    </w:p>
    <w:p>
      <w:pPr>
        <w:spacing w:after="0" w:line="7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However, our future success will also depend on our ability to introduce and sell new services, products, features and functionality that enhance or are beyond the voice, fax, text and connected services we currently offer, as well as to improve usability and support and increase customer satisfaction. The success of new product introductions, such as Ooma AirDial, depends on a number of factors including, but not limited to: pricing, market and consumer acceptance, the ability to successfully identify and originate product trends, effective forecasting and management of product demand, purchase commitments and inventory levels, availability of products in appropriate quantities to meet anticipated demand, ability to obtain timely and adequate delivery of components for our new products from third-party suppliers, management of manufacturing and supply costs, and the risk that new products may have quality issues or other defects or bugs in the early stages of introduction. Moreover, the market for POTS line replacement is relatively new and the launch of Ooma AirDial may not result in long term success or significant revenue for us. Our failure to develop solutions that satisfy customer preferences in a timely and cost-effective manner may harm our ability to renew our subscriptions with existing customers and to create or increase demand for our services and products and may materially and adversely impact our results of operations.</w:t>
      </w:r>
    </w:p>
    <w:p>
      <w:pPr>
        <w:spacing w:after="0" w:line="78"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The introduction or announcement of new services and technologies by our competitors could make our existing solutions obsolete, cause customers to defer purchases of our products and services, or otherwise adversely affect our business and results of operations. Further, we may experience higher product returns from retailers or reseller partners and may face challenges managing the inventory of new or existing products, which could lead to excess inventory charges and/or discounting of such products. In addition, new products may have varying selling prices and costs compared to legacy products, which could negatively impact our gross margins and operating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jc w:val="both"/>
        <w:ind w:firstLine="374"/>
        <w:spacing w:after="0"/>
        <w:rPr>
          <w:sz w:val="20"/>
          <w:szCs w:val="20"/>
          <w:color w:val="auto"/>
        </w:rPr>
      </w:pPr>
      <w:r>
        <w:rPr>
          <w:rFonts w:ascii="Arial" w:cs="Arial" w:eastAsia="Arial" w:hAnsi="Arial"/>
          <w:sz w:val="18"/>
          <w:szCs w:val="18"/>
          <w:color w:val="auto"/>
        </w:rPr>
        <w:t>We may experience difficulties with software development, operations, design or marketing that could delay or prevent the introduction or implementation of new or enhanced products, services and applications. We have in the past experienced delays in the planned release dates of new features and upgrades and have discovered defects in new services and applications after their introduction. We cannot assure you that new products, or new features or upgrades to existing products and services, will be released according to schedule, or that, when released, they will not contain defects. Either of these situations could result in adverse publicity, loss of revenue, higher than expected costs, delay in market acceptance or claims by customers brought against us, all of which could harm our reputation, business, results of operations and financial condition.</w:t>
      </w:r>
    </w:p>
    <w:p>
      <w:pPr>
        <w:spacing w:after="0" w:line="77" w:lineRule="exact"/>
        <w:rPr>
          <w:sz w:val="20"/>
          <w:szCs w:val="20"/>
          <w:color w:val="auto"/>
        </w:rPr>
      </w:pPr>
    </w:p>
    <w:p>
      <w:pPr>
        <w:jc w:val="both"/>
        <w:ind w:firstLine="374"/>
        <w:spacing w:after="0" w:line="208" w:lineRule="exact"/>
        <w:rPr>
          <w:sz w:val="20"/>
          <w:szCs w:val="20"/>
          <w:color w:val="auto"/>
        </w:rPr>
      </w:pPr>
      <w:r>
        <w:rPr>
          <w:rFonts w:ascii="Arial" w:cs="Arial" w:eastAsia="Arial" w:hAnsi="Arial"/>
          <w:sz w:val="18"/>
          <w:szCs w:val="18"/>
          <w:color w:val="auto"/>
        </w:rPr>
        <w:t>Moreover, the development of new or enhanced products, services or applications may require substantial investment, and we must continue to invest a significant amount of resources in our research and development efforts to remain competitive. We do not know whether these investments will be successful. If we are unable to develop, license or acquire new or enhanced products, services and applications on a timely and cost</w:t>
      </w:r>
      <w:r>
        <w:rPr>
          <w:rFonts w:ascii="MS PGothic" w:cs="MS PGothic" w:eastAsia="MS PGothic" w:hAnsi="MS PGothic"/>
          <w:sz w:val="18"/>
          <w:szCs w:val="18"/>
          <w:color w:val="auto"/>
        </w:rPr>
        <w:t>‑</w:t>
      </w:r>
      <w:r>
        <w:rPr>
          <w:rFonts w:ascii="Arial" w:cs="Arial" w:eastAsia="Arial" w:hAnsi="Arial"/>
          <w:sz w:val="18"/>
          <w:szCs w:val="18"/>
          <w:color w:val="auto"/>
        </w:rPr>
        <w:t>effective basis, or if such new or enhanced products, services and applications do not achieve adequate market acceptance, we may not be able to realize a return on our investments and our business, financial condition and results of operations may be materially and adversely affected.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increased public acceptance of our connected services, applications and products.</w:t>
      </w:r>
    </w:p>
    <w:p>
      <w:pPr>
        <w:spacing w:after="0" w:line="102"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Our future growth depends on our ability to significantly increase revenue generated from our Ooma Business and Ooma Residential communications solutions and other connected services. The markets for cloud-based communications, smart security services and connected services are evolving rapidly and are characterized by an increasing number of market entrants. If these markets fail to develop, develop more slowly than we anticipate or develop in a manner different than we expect, our services could fail to achieve market acceptance, which in turn could materially and adversely affect our business.</w:t>
      </w:r>
    </w:p>
    <w:p>
      <w:pPr>
        <w:spacing w:after="0" w:line="68"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Our future growth in the small and medium-sized business and enterprise markets depends on the continued use of voice communications by businesses, as compared to e-mail and other data-based methods. A decline in the overall rate of voice communications by businesses would harm our business. Furthermore, our continued growth depends on future demand for and adoption of internet voice communications systems and services and on future demand for connected communications services. Although the number of broadband subscribers worldwide has grown significantly in recent years, only a small percentage of businesses have adopted internet voice communications services to date. For demand and adoption of internet voice communications services by businesses to increase, internet voice communications networks must improve the quality of their service for real-time communications by managing the effects of and reducing packet loss, packet delay, and packet jitter, as well as unreliable bandwidth, so that high-quality service can be consistently provided. Additionally, the cost and feature benefits of internet voice communications must be sufficient to cause customers to switch from traditional phone service providers. We must devote substantial resources to educate potential customers about the benefits of internet voice communications solutions, in general, and of our services in particular. If any or all of these factors fail to occur, our business may be materially and adversely affected.</w:t>
      </w:r>
    </w:p>
    <w:p>
      <w:pPr>
        <w:spacing w:after="0" w:line="75"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Our Ooma Residential product and services are being sold to individuals and families. With the growth of mobile technologies, many consumers have chosen to eliminate their home telephone service. Our ability to continue growing our user base depends on our ability to convince our customers and potential customers that our service is sufficiently useful and cost-effective, that it makes sense to maintain or establish home telephone services with us. Our growth could slow and our financial condition could be adversely affected if the trend of eliminating home telephone service continues or accelerates.</w:t>
      </w:r>
    </w:p>
    <w:p>
      <w:pPr>
        <w:spacing w:after="0" w:line="6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Our mobile platform, available to any consumer with a Wi-Fi® or cellular data connected mobile device, operates in a market that is fragmented and where it is difficult to gain consumer awareness. Many of our competitors in this market have been able to establish a significant user base and reputation in the market, which may make it more difficult for our products to be adopted. Furthermore, as new mobile devices are released, we may encounter difficulties supporting these devices and services, and we may need to devote significant resources to the creation, support, and maintenance of our mobile applications. Additionally, our competitors may allocate additional resources to marketing and promotion of their products, making it even more difficult to be noticed. It is also unclear how the adoption of “over-the-top” based communications will continue to grow. If the number of consumers using “over-the-top” based communications stagnates or declines, such movement may result in an intensified competition for consumers in this space.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are expanding our international operations, which may expose us to significant risks.</w:t>
      </w:r>
    </w:p>
    <w:p>
      <w:pPr>
        <w:spacing w:after="0" w:line="10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To date, we have not generated significant revenue from outside of the U.S. and Canada, but we have expanded operations outside North America as we ramp up to provide services in certain countries internationally. The future success of our business will depend, in part, on our ability to expand our operations and customer base worldwide. Operating in international markets requires significant resources and management attention and will subject us to regulatory, economic and political risks different from those in the U.S. Because of our limited experience with international operations and developing and managing sales and distribution channels in international markets, our international expansion efforts may not be successful. In addition, we will face risks in doing business internationally that could materially and adversely affect our business, including:</w:t>
      </w:r>
    </w:p>
    <w:p>
      <w:pPr>
        <w:spacing w:after="0" w:line="23" w:lineRule="exact"/>
        <w:rPr>
          <w:sz w:val="20"/>
          <w:szCs w:val="20"/>
          <w:color w:val="auto"/>
        </w:rPr>
      </w:pPr>
    </w:p>
    <w:p>
      <w:pPr>
        <w:ind w:left="880" w:right="20" w:hanging="508"/>
        <w:spacing w:after="0" w:line="252"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comply with differing technical and environmental standards, data privacy and telecommunications regulations, and certification requirements outside the U.S.;</w:t>
      </w:r>
    </w:p>
    <w:p>
      <w:pPr>
        <w:ind w:left="880" w:hanging="508"/>
        <w:spacing w:after="0" w:line="242"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contractual and other liability to our business partners if we fail to meet their aggressive expansion schedules in new locations;</w:t>
      </w: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13"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adapt and localize our services for specific countries;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offer customer care in various native languages;</w:t>
      </w:r>
    </w:p>
    <w:p>
      <w:pPr>
        <w:spacing w:after="0" w:line="21" w:lineRule="exact"/>
        <w:rPr>
          <w:rFonts w:ascii="Times New Roman" w:cs="Times New Roman" w:eastAsia="Times New Roman" w:hAnsi="Times New Roman"/>
          <w:sz w:val="18"/>
          <w:szCs w:val="18"/>
          <w:color w:val="auto"/>
        </w:rPr>
      </w:pPr>
    </w:p>
    <w:p>
      <w:pPr>
        <w:ind w:left="880" w:right="20" w:hanging="508"/>
        <w:spacing w:after="0" w:line="247"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reliance on third parties over which we have limited control, including international resellers, for marketing and reselling our services;</w:t>
      </w: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availability of reliable broadband connectivity and wide area networks in targeted areas for expansion;</w:t>
      </w:r>
    </w:p>
    <w:p>
      <w:pPr>
        <w:spacing w:after="0" w:line="13" w:lineRule="exact"/>
        <w:rPr>
          <w:rFonts w:ascii="Times New Roman" w:cs="Times New Roman" w:eastAsia="Times New Roman" w:hAnsi="Times New Roman"/>
          <w:sz w:val="18"/>
          <w:szCs w:val="18"/>
          <w:color w:val="auto"/>
        </w:rPr>
      </w:pPr>
    </w:p>
    <w:p>
      <w:pPr>
        <w:ind w:left="880" w:right="20" w:hanging="508"/>
        <w:spacing w:after="0" w:line="247"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lower levels of adoption of credit or debit card usage for internet related purchases by foreign customers and compliance with various foreign regulations related to credit or debit card processing and data privacy requirements;</w:t>
      </w: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13" w:lineRule="exact"/>
        <w:rPr>
          <w:rFonts w:ascii="Times New Roman" w:cs="Times New Roman" w:eastAsia="Times New Roman" w:hAnsi="Times New Roman"/>
          <w:sz w:val="18"/>
          <w:szCs w:val="18"/>
          <w:color w:val="auto"/>
        </w:rPr>
      </w:pPr>
    </w:p>
    <w:p>
      <w:pPr>
        <w:ind w:left="880" w:hanging="508"/>
        <w:spacing w:after="0" w:line="247"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export controls and trade and economic sanctions administered by the Department of Commerce Bureau of Industry and Security and the Treasury Department’s Office of Foreign Assets Control;</w:t>
      </w: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tariffs and other non-tariff barriers, such as quotas and local content rules;</w:t>
      </w:r>
    </w:p>
    <w:p>
      <w:pPr>
        <w:spacing w:after="0" w:line="13" w:lineRule="exact"/>
        <w:rPr>
          <w:rFonts w:ascii="Times New Roman" w:cs="Times New Roman" w:eastAsia="Times New Roman" w:hAnsi="Times New Roman"/>
          <w:sz w:val="18"/>
          <w:szCs w:val="18"/>
          <w:color w:val="auto"/>
        </w:rPr>
      </w:pPr>
    </w:p>
    <w:p>
      <w:pPr>
        <w:jc w:val="both"/>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tariffs imposed by the U.S. on goods from other countries and tariffs imposed by other countries on U.S. goods, including the tariffs implemented and additional tariffs that have been proposed by the U.S. government on various imports from China, Canada, Mexico and the EU, and by the governments of these jurisdictions on certain U.S. goods, and any other possible tariffs that may be imposed on services such as ours, the scope and duration of which, if implemented, remain uncertain;</w:t>
      </w:r>
    </w:p>
    <w:p>
      <w:pPr>
        <w:spacing w:after="0" w:line="3" w:lineRule="exact"/>
        <w:rPr>
          <w:rFonts w:ascii="Times New Roman" w:cs="Times New Roman" w:eastAsia="Times New Roman" w:hAnsi="Times New Roman"/>
          <w:sz w:val="18"/>
          <w:szCs w:val="18"/>
          <w:color w:val="auto"/>
        </w:rPr>
      </w:pPr>
    </w:p>
    <w:p>
      <w:pPr>
        <w:ind w:left="880" w:hanging="508"/>
        <w:spacing w:after="0" w:line="242"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various anti-bribery and anti-corruption laws such as the U.S. Foreign Corrupt Practices Act of 1977, as amended, or the FCPA;</w:t>
      </w: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limited protection for intellectual property rights in some countries;</w:t>
      </w:r>
    </w:p>
    <w:p>
      <w:pPr>
        <w:spacing w:after="0" w:line="13"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adverse tax consequences;</w:t>
      </w:r>
    </w:p>
    <w:p>
      <w:pPr>
        <w:spacing w:after="0" w:line="21" w:lineRule="exact"/>
        <w:rPr>
          <w:rFonts w:ascii="Times New Roman" w:cs="Times New Roman" w:eastAsia="Times New Roman" w:hAnsi="Times New Roman"/>
          <w:sz w:val="18"/>
          <w:szCs w:val="18"/>
          <w:color w:val="auto"/>
        </w:rPr>
      </w:pPr>
    </w:p>
    <w:p>
      <w:pPr>
        <w:jc w:val="both"/>
        <w:ind w:left="880" w:hanging="508"/>
        <w:spacing w:after="0" w:line="243"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currency exchange rates, economic stability, and inflationary conditions which could increase the price of our services outside of the U.S., increase the expenses of our international operations, including expenses related to foreign contractors, and expose us to foreign currency exchange rate risk;</w:t>
      </w: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exchange control regulations, which might restrict or prohibit our conversion of other currencies into U.S. Dollars;</w:t>
      </w:r>
    </w:p>
    <w:p>
      <w:pPr>
        <w:spacing w:after="0" w:line="13"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transfer of funds;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international conflict and sanctions, such as those resulting from the Russian invasion of Ukraine in February 2022;</w:t>
      </w:r>
    </w:p>
    <w:p>
      <w:pPr>
        <w:spacing w:after="0" w:line="21" w:lineRule="exact"/>
        <w:rPr>
          <w:rFonts w:ascii="Times New Roman" w:cs="Times New Roman" w:eastAsia="Times New Roman" w:hAnsi="Times New Roman"/>
          <w:sz w:val="18"/>
          <w:szCs w:val="18"/>
          <w:color w:val="auto"/>
        </w:rPr>
      </w:pPr>
    </w:p>
    <w:p>
      <w:pPr>
        <w:ind w:left="880" w:hanging="508"/>
        <w:spacing w:after="0" w:line="247"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public health crises, such as the COVID-19 pandemic, could worsen a slowdown in the global economy and demand for our products and services and limit the ability of our field sales teams to conduct sales efforts;</w:t>
      </w: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deterioration of political relations between the U.S. and other countries; and</w:t>
      </w:r>
    </w:p>
    <w:p>
      <w:pPr>
        <w:spacing w:after="0" w:line="13" w:lineRule="exact"/>
        <w:rPr>
          <w:rFonts w:ascii="Times New Roman" w:cs="Times New Roman" w:eastAsia="Times New Roman" w:hAnsi="Times New Roman"/>
          <w:sz w:val="18"/>
          <w:szCs w:val="18"/>
          <w:color w:val="auto"/>
        </w:rPr>
      </w:pPr>
    </w:p>
    <w:p>
      <w:pPr>
        <w:ind w:left="880" w:right="20" w:hanging="508"/>
        <w:spacing w:after="0" w:line="259" w:lineRule="auto"/>
        <w:tabs>
          <w:tab w:leader="none" w:pos="8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or economic instability in a specific country or region, which could have an adverse impact on our third-party software development and quality assurance operations there.</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failure to manage any of these risks successfully could harm our future international operations and our overall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005581"/>
        </w:rPr>
        <w:t>Risks Related to Security, IT Systems and Intellectual Property</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incurred, and expect to continue to incur, significant costs to protect against security breaches. We may incur significant additional costs in the future to address problems caused by any actual or perceived security breaches.</w:t>
      </w:r>
    </w:p>
    <w:p>
      <w:pPr>
        <w:spacing w:after="0" w:line="31"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Any system failure or security breach that causes interruptions or data loss in our operations or in the computer systems of our customers or leads to the misappropriation of our or our customers' CPNI could result in significant liability to us. Such failure or breach could cause our service to be perceived as not being secure, subject us to regulatory requirements such as FCC notification, result in significant monetary costs, such as fines, legal fees and expenditures to improve and enhance our security measures, cause considerable harm to us and our reputation (including requiring notification to customers, regulators or the media) and deter current and potential customers from using our services.</w:t>
      </w:r>
    </w:p>
    <w:p>
      <w:pPr>
        <w:spacing w:after="0" w:line="7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Additionally, we could incur significant costs, both monetary and with respect to management's time and attention, to investigate and remediate a data security breach. Because our onboarding and billing functions are conducted primarily through a single data center, any security breach in that data center may cause an interruption in our business operations. If any of these events occurs, or is believed to occur, our reputation and brand could be damaged, our business may suffer, we could be required to expend significant capital and other resources to alleviate problems caused by such actual or perceived breaches, we could be exposed to a risk of loss, litigation or regulatory action and possible liability, and our ability to operate our business, including our ability to provide maintenance and support services to our channel partners and end-customers, may be impaired. If current or prospective channel partners and end-customers believe that our systems and solutions do not provide adequate security for their businesses' needs, our business and our financial results could be harmed. Actual, potential or anticipated attacks may cause us to incur increasing costs, including costs to deploy additional personnel and protection technologies, train employees and engage third-party experts and consultants.</w:t>
      </w:r>
    </w:p>
    <w:p>
      <w:pPr>
        <w:spacing w:after="0" w:line="7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Although we maintain privacy, data breach and network security liability insurance, we cannot be certain that our coverage will be adequate for liabilities actually incurred or that insurance will continue to be available to us on economically reasonable terms, or at all. In addition, although we have developed an information security program, we cannot guarantee these measures would be sufficient to protect us from a network security incident. Any actual or perceived compromise or breach of our security measures, or those of our third-party service providers, or any unauthorized access to, misuse or misappropriation of personally identifiable information, channel partners' or end-customers information, or other information, could violate applicable laws and regulations, contractual obligations or other legal obligations and cause significant legal and financial exposure, adverse publicity and a loss of confidence in our security measures, any of which could have an material adverse effect on our business, financial condition and operating results.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Failures in internet infrastructure or interference with broadband access could cause current or potential customers to believe that our systems are unreliable, leading our current customers to switch to our competitors or potential customers to avoid using our services.</w:t>
      </w:r>
    </w:p>
    <w:p>
      <w:pPr>
        <w:spacing w:after="0" w:line="51"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Many of our services depend on our customers’ broadband access to the internet, usually provided through a cable or digital subscriber line, or DSL, connection. In addition, users who access our services and applications through mobile devices, such as smartphones and tablets, must have a high-speed connection, such as Wi-Fi, 3G, 4G, 5G or LTE, to use our services and applications. Currently, this access is provided by companies that have significant and increasing market power in the broadband and internet access marketplace, including incumbent phone companies, cable companies and wireless companies. Increasing numbers of users and increasing bandwidth requirements may degrade the performance of internet and mobile infrastructure, resulting in outages or deteriorations in connectivity and negatively impacting the quality with which we can deliver our solutions. As our customer base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Furthermore, as the rate of adopting new technologies increases, the networks on which our services and applications rely may not be able to sufficiently adapt to the increased demand for these services, including ours. In the past, we have experienced disruptions to our service and were able to restore service without incurring material expenses. Outages to date have not materially affected our results of operations. However, the costs incurred in correcting root causes for service outages may be substantial and these and other related consequences could negatively impact our results of operations.</w:t>
      </w:r>
    </w:p>
    <w:p>
      <w:pPr>
        <w:spacing w:after="0" w:line="80"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Frequent or persistent interruptions could cause current or potential users to believe that our systems or services are unreliable, leading them to switch to our competitors or to avoid our services, and could permanently harm our reputation and brands. Because some of our services rely on integration between features that use both wired and wireless infrastructures, any of the aforementioned problems with either wired or wireless infrastructure may result in the inability of customers to take advantage of our integrated services and therefore may decrease the attractiveness of our collective services to current and potential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28" w:name="page29"/>
    <w:bookmarkEnd w:id="28"/>
    <w:p>
      <w:pPr>
        <w:jc w:val="both"/>
        <w:spacing w:after="0" w:line="256" w:lineRule="auto"/>
        <w:rPr>
          <w:sz w:val="20"/>
          <w:szCs w:val="20"/>
          <w:color w:val="auto"/>
        </w:rPr>
      </w:pPr>
      <w:r>
        <w:rPr>
          <w:rFonts w:ascii="Arial" w:cs="Arial" w:eastAsia="Arial" w:hAnsi="Arial"/>
          <w:sz w:val="18"/>
          <w:szCs w:val="18"/>
          <w:b w:val="1"/>
          <w:bCs w:val="1"/>
          <w:i w:val="1"/>
          <w:iCs w:val="1"/>
          <w:color w:val="auto"/>
        </w:rPr>
        <w:t>The success of our business relies on customers’ continued and unimpeded access to broadband service. Providers of broadband services may block or degrade our services or charge their customers more for using our services, which could adversely affect our revenue and growth.</w:t>
      </w:r>
    </w:p>
    <w:p>
      <w:pPr>
        <w:spacing w:after="0" w:line="5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Some of the providers of broadband internet access and high-speed mobile access, such as AT&amp;T and Verizon, market and sell products and services to our current and potential customers that directly compete with our own offerings, which can potentially give such providers a competitive advantage. Broadband providers also may take measures that affect their customers’ ability to use our service, such as degrading the quality of the data packets we transmit over their lines, giving those packets low priority, giving other packets higher priority than ours, blocking our packets entirely or attempting to charge their customers more for also using our services. In the past, actions like these taken by U.S. providers would violate the net neutrality rules adopted by the FCC and described below. However, the FCC has largely reversed the net neutrality rules, and most foreign countries have not adopted formal net neutrality or open internet rules, creating an increased risk broadband providers will engage in such anti-competitive measures against us in the United States and elsewhere.</w:t>
      </w:r>
    </w:p>
    <w:p>
      <w:pPr>
        <w:spacing w:after="0" w:line="72"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 xml:space="preserve">Also, a number of states have enacted or are considering legislation or executive actions that would regulate the conduct of broadband providers. For example,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law has been challenged by telecom and broadband industry groups. However, the Ninth Circuit Court of Appeals upheld the law on January 28, 2022. It is possible the plaintiffs will petition the court to review the decision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or petition the United States Supreme Court for review. We cannot predict whether the FCC orders or state initiatives will be modified, overturned, or vacated by legal action of the court, federal or state legislation, or the FCC. The FCC’s orders could affect the market for broadband internet access service in a way that impacts our business, for example by increasing the cost of broadband internet service and thereby depressing demand for our services, by increasing the costs of services we purchase or by creating tiers of internet access service and by either charging us for or prohibiting us from being available through these tiers, and we cannot predict the impact of these events upon our business and results of operations.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base to decline significantly.</w:t>
      </w:r>
    </w:p>
    <w:p>
      <w:pPr>
        <w:spacing w:after="0" w:line="5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A majority of our customers authorize us to bill their credit card accounts directly for service fees that we charge. If people pay for our services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claims that the customer did not authorize the credit card transaction to purchase our service, something we have experienced in the past. If the number of unauthorized credit card transactions becomes excessive, we could be assessed substantial fines for excess chargebacks and we could lose the right to accept credit cards for payment. We have also been affected by the credit card breaches at various retail stores, which have caused millions of consumers to cancel credit cards as a result of the breach. We have found that some consumers do not renew their services after a card cancellation, which can have a material negative impact on our revenue. In addition, credit card issuers may change merchant standards, including data protection and documentation standards, required to utilize their services from time to time.</w:t>
      </w:r>
    </w:p>
    <w:p>
      <w:pPr>
        <w:spacing w:after="0" w:line="78"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We are currently not in compliance with all of the applicable technical requirements of the Payment Card Industry Data Security Standard, or PCI, but we are working to become fully compliant as soon as is practicable. If we fail to become compliant or maintain compliance with current merchant standards, such as PCI, or fail to meet new standards, the credit card associations may fine us or, while unusual, may impose certain restrictions on our ability to accept credit cards or terminate our agreements with them, rendering us unable to accept credit cards as payment for our services. Our services have been in the past, and may also be in the future, subject to fraudulent or abusive usage in violation of applicable law or our acceptable use policies, including but not limited to revenue share fraud, domestic traffic pumping, subscription fraud, premium text message scams, and other fraudulent schemes, any of which could result in our incurring substantial costs for the completion of calls. Although our customers are required to set passwords and Personal Identification Numbers, or PINs, to protect their accounts and may configure in which destinations international calling is enabled from their extensions, third parties have accessed and used our customers’ accounts and extensions through fraudulent means in the past, and they may do so in the future, which also could result in substantial call completion and other costs for us. In addition, third parties may have attempted in the past, and may attempt in the future, to fraudulently induce domestic and international employees or consultants into disclosing customer credentials and other account information. Communications fraud can result in unauthorized access to customer accounts and customer data, unauthorized use of customers’ services, and charges to customers for fraudulent usage and expenses we must pay to carriers. We may be required to pay for these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8"/>
          <w:szCs w:val="18"/>
          <w:color w:val="auto"/>
        </w:rPr>
        <w:t>charges and expenses with no reimbursement from the customer, and our reputation may be harmed if our services are subject to fraudulent usage.</w:t>
      </w:r>
    </w:p>
    <w:p>
      <w:pPr>
        <w:spacing w:after="0" w:line="4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Although we implement multiple fraud prevention and detection controls, we cannot assure you that these controls will be adequate to protect against fraud. Substantial losses due to fraud or our inability to accept credit card payments, which could cause our paid customer base to significantly decrease, could have a material adverse effect on our results of operations, financial condition and ability to grow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Accusations of infringement of third-party intellectual property rights could materially and adversely affect our business.</w:t>
      </w:r>
    </w:p>
    <w:p>
      <w:pPr>
        <w:spacing w:after="0" w:line="102"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There has been substantial litigation in the sectors in which we operate regarding intellectual property rights. In the past, we have been sued by third parties claiming infringement of their intellectual property rights and we were able to settle such litigation. However, we may be sued for infringement from time to time in the future, and we cannot assure you that we will be able to settle any future claims or, if we are able to settle any such claims, that the settlement will be on terms favorable to us. Our broad range of technology may increase the likelihood that third parties will claim that we infringe their intellectual property rights.</w:t>
      </w:r>
    </w:p>
    <w:p>
      <w:pPr>
        <w:spacing w:after="0" w:line="68"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We have in the past received, and may in the future receive, notices of claims of infringement, misappropriation or misuse of other parties’ proprietary rights. Notwithstanding their merits, accusations and lawsuits like these often require significant time and expense to defend, may negatively affect customer relationships, may divert management’s attention away from other aspects of our operations and, upon resolution, may have a material adverse effect on our business, results of operations, financial condition and cash flows.</w:t>
      </w:r>
    </w:p>
    <w:p>
      <w:pPr>
        <w:spacing w:after="0" w:line="66"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Certain technology necessary for us to provide our services may, in fact, be patented by other parties either now or in the future. If such technology were validly patented by another person, we would have to negotiate a license for the use of that technology. We may not be able to negotiate such a license at a price that is acceptable to us or at all. The existence of such a patent, or our inability to negotiate a license for any such technology on acceptable terms, could force us to cease using the technology and cease offering products and services incorporating the technology, which could materially and adversely affect our business and results of operations. If we were found to be infringing on the intellectual property rights of any third party, we could be subject to liability for such infringement, which could be material. We could also be prohibited from using or selling certain products or services, prohibited from using certain processes, or required to redesign certain products or services, each of which could have a material adverse effect on our business and results of operations.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and other outcomes may:</w:t>
      </w:r>
    </w:p>
    <w:p>
      <w:pPr>
        <w:spacing w:after="0" w:line="104" w:lineRule="exact"/>
        <w:rPr>
          <w:sz w:val="20"/>
          <w:szCs w:val="20"/>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the loss of a substantial number of existing customers or prohibit the acquisition of new customers;</w:t>
      </w:r>
    </w:p>
    <w:p>
      <w:pPr>
        <w:spacing w:after="0" w:line="3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cause us to pay license fees for intellectual property we are deemed to have infringed;</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cause us to incur costs and devote valuable technical resources to redesigning our services;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cause our cost of revenue to increase;</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cause us to accelerate expenditures to preserve existing revenue;</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cause existing or new vendors to require prepayments or letters of credit;</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materially and adversely affect our brand in the marketplace and cause a substantial loss of goodwill;</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cause us to change our business methods or services;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cease certain business operations or offering certain products, services or features; and</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lead to our bankruptcy or liquidation.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jc w:val="both"/>
        <w:spacing w:after="0" w:line="278" w:lineRule="auto"/>
        <w:rPr>
          <w:sz w:val="20"/>
          <w:szCs w:val="20"/>
          <w:color w:val="auto"/>
        </w:rPr>
      </w:pPr>
      <w:r>
        <w:rPr>
          <w:rFonts w:ascii="Arial" w:cs="Arial" w:eastAsia="Arial" w:hAnsi="Arial"/>
          <w:sz w:val="18"/>
          <w:szCs w:val="18"/>
          <w:b w:val="1"/>
          <w:bCs w:val="1"/>
          <w:i w:val="1"/>
          <w:iCs w:val="1"/>
          <w:color w:val="auto"/>
        </w:rPr>
        <w:t>Any failure to obtain registration or protection of our intellectual property rights could materially and adversely affect our business.</w:t>
      </w:r>
    </w:p>
    <w:p>
      <w:pPr>
        <w:spacing w:after="0" w:line="3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We rely, in part, on patent, trademark, copyright and trade secret law to protect our intellectual property in the U.S. and abroad. We cannot assure you that the particular forms of intellectual property protection we seek, including business decisions about when to file patents and when to maintain trade secrets, will be adequate to protect our business. We seek to protect our technology, software, documentation and other information under trade secret and copyright law, which afford only limited protection. For example, we typically enter into confidentiality agreements with our employees, consultants, third-party contractors, customers and vendors in an effort to control access to use and distribution of our technology, software, documentation and other information. These agreements may not effectively prevent unauthorized use or disclosure of confidential information and may not provide an adequate remedy in the event of such unauthorized use or disclosure, and it may be possible for a third party to legally reverse engineer, copy or otherwise obtain and use our technology without authorization. In addition, improper disclosure of trade secret information by our current or former employees, consultants, third-party contractors, customers or vendors to the public or others who could make use of the trade secret information would likely preclude that information from being protected as a trade secret.</w:t>
      </w:r>
    </w:p>
    <w:p>
      <w:pPr>
        <w:spacing w:after="0" w:line="7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cannot predict whether our pending patent applications will result in issued patents or whether any issued patents will effectively protect our intellectual property. Even if a pending patent application results in an issued patent, the patent may be circumvented or its validity may be challenged in various proceedings in U.S. District Court, before the U.S. Patent and Trademark Office or before their foreign equivalents, such as reexamination, which may require legal representation and involve substantial costs and diversion of management time and resources. In addition, we cannot assure you that every significant feature of our solutions is protected by our patents, or that we will mark our products with any or all patents they embody. As a result, we may be prevented from seeking damages in whole or in part for infringement of our patents.</w:t>
      </w:r>
    </w:p>
    <w:p>
      <w:pPr>
        <w:spacing w:after="0" w:line="77"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unlicensed use of our brand, including domain names, by third parties could harm our reputation, cause confusion among our customers and impair our ability to market our products and services. To that end, we have registered numerous trademarks and service marks, have applied for registration of additional trademarks and service marks and have acquired a number of domain names in and outside the U.S. to establish and protect our brand names as part of our intellectual property strategy. If our applications receive objections or are successfully opposed by third parties, it will be difficult for us to prevent third parties from using our brand without our permission. Moreover, successful opposition to our applications might encourage third parties to make additional oppositions or commence trademark infringement proceedings against us, which could be costly and time consuming to defend against. There have been in the past, and may be in the future, instances where third parties have used our trade names, or have adopted confusingly similar trade names to ours. If we are not successful in protecting our trademarks, our trademark rights may be diluted and subject to challenge or invalidation, which could materially and adversely affect our brand.</w:t>
      </w:r>
    </w:p>
    <w:p>
      <w:pPr>
        <w:spacing w:after="0" w:line="72"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Despite our efforts to implement our intellectual property strategy, we may not be able to protect or enforce our proprietary rights in the U.S. or internationally (where effective intellectual property protection may be unavailable or limited). For example, we have entered into agreements containing confidentiality and invention assignment provisions in connection with the outsourcing of certain software development, quality assurance and development activities to third-party contractors in a number of international locations. We have also entered into an agreement containing a confidentiality provision with a third-party contractor located in the Philippines, where we have outsourced a significant portion of our customer support function. Such agreements may not adequately protect our proprietary rights in the applicable jurisdictions and foreign countries, as their respective laws may not protect proprietary rights to the same extent as the laws of the U.S. In addition, our competitors may independently develop technologies similar or superior to our technology, duplicate our technology in a manner that does not infringe our intellectual property rights or design around any of our patents. Furthermore, detecting and policing unauthorized use of our intellectual property is difficult and resource-intensive. Moreover, litigation may be necessary in the future to enforce our intellectual property rights, to determine the validity and scope of the proprietary rights of others, or to defend against claims of infringement or invalidity. Such litigation, whether successful or not, could result in substantial costs and diversion of management time and resources and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license technology from third parties we do not control and cannot be assured of retaining such licenses.</w:t>
      </w:r>
    </w:p>
    <w:p>
      <w:pPr>
        <w:spacing w:after="0" w:line="102"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We rely upon certain technology, including hardware and software, licensed from third parties. These licenses are typically offered on standard commercial terms made generally available by the companies providing the licenses. There can be no assurance that the technology licensed by us will continue to provide competitive features and functionality or that the licenses for technology currently utilized by us or other technology which we may seek to license in the future, will be available to us on commercially reasonable terms or at all. The loss of, or inability to maintain, existing licenses could result in shipment delays or reductions until equivalent technology or suitable alternative products are developed, identified, licensed and integrated, and could harm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problems with our information systems could interfere with our business and operations.</w:t>
      </w:r>
    </w:p>
    <w:p>
      <w:pPr>
        <w:spacing w:after="0" w:line="10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rely on our information systems and those of third parties for processing customer orders, distribution of our services, billing our customers, processing credit card transactions, customer relationship management, supporting financial planning and analysis, accounting functions and financial statement preparation and otherwise running our business. Information systems may experience interruptions, including interruptions of related services from third-party providers, which may be beyond our control. Such business interruptions could cause us to fail to meet customer requirements. All information systems, both internal and external, are potentially vulnerable to damage or interruption from a variety of sources, including without limitation, computer viruses, ransomware attacks or other security breaches, energy blackouts, natural disasters, terrorism, war, telecommunication failures, and employee or other theft, as well as third-party provider failures. Any disruption in our information systems and those of the third parties upon which we rely could have a significant impact on our business.</w:t>
      </w:r>
    </w:p>
    <w:p>
      <w:pPr>
        <w:spacing w:after="0" w:line="7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may implement enhanced information systems in the future to meet the demands resulting from our growth and to provide additional capabilities and functionality. The implementation of new systems and enhancements is frequently disruptive to the underlying business of an enterprise, and can be time-consuming and expensive, increase management responsibilities and divert management attention. Any disruptions relating to our systems enhancements or any problems with the implementation, particularly any disruptions impacting our operations or our ability to accurately report our financial performance on a timely basis during the implementation period, could materially and adversely affect our business. Even if we do not encounter these material and adverse effects, the implementation of these enhancements may be much costlier than we anticipated. If we are unable to successfully implement the information systems enhancements as planned, our financial position, results of operations and cash flows could be negatively impacted.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technology could impose limitations on our ability to commercialize our services.</w:t>
      </w:r>
    </w:p>
    <w:p>
      <w:pPr>
        <w:spacing w:after="0" w:line="102"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We use open source software in our platforms on which our services operate. There is a risk that the owners of the copyrights in such software may claim that such licenses impose unanticipated conditions or restrictions on our ability to market or provide our services. If such owners prevail in such claim, we could be required to make the source code for our proprietary software (which contains our valuable trade secrets) generally available to third parties, including competitors, at no cost, to seek licenses from third parties in order to continue offering our services, to re-engineer our technology, or to discontinue offering our services in the event re-engineering cannot be accomplished on a timely basis or at all, any of which could cause us to discontinue our services, harm our reputation, result in customer losses or claims, increase our costs or otherwise materially and adversely affect our business and results of operations. If a copyright holder of such open source software were to allege we had not complied with the conditions of one or more of these licenses, we could be required to incur significant legal expenses defending against such allegations and could be subject to significant damages, enjoined from the sale of our solutions that contained the open source software and required to comply with the foregoing conditions, which could disrupt the distribution and sale of some of our solutions.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005581"/>
        </w:rPr>
        <w:t>Regulatory and Tax Matters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services are subject to regulation and future legislative or regulatory actions could adversely affect our business and expose us to liability.</w:t>
      </w:r>
    </w:p>
    <w:p>
      <w:pPr>
        <w:spacing w:after="0" w:line="31" w:lineRule="exact"/>
        <w:rPr>
          <w:sz w:val="20"/>
          <w:szCs w:val="20"/>
          <w:color w:val="auto"/>
        </w:rPr>
      </w:pPr>
    </w:p>
    <w:p>
      <w:pPr>
        <w:jc w:val="both"/>
        <w:ind w:firstLine="374"/>
        <w:spacing w:after="0" w:line="208" w:lineRule="exact"/>
        <w:rPr>
          <w:sz w:val="20"/>
          <w:szCs w:val="20"/>
          <w:color w:val="auto"/>
        </w:rPr>
      </w:pPr>
      <w:r>
        <w:rPr>
          <w:rFonts w:ascii="Arial" w:cs="Arial" w:eastAsia="Arial" w:hAnsi="Arial"/>
          <w:sz w:val="18"/>
          <w:szCs w:val="18"/>
          <w:i w:val="1"/>
          <w:iCs w:val="1"/>
          <w:color w:val="auto"/>
        </w:rPr>
        <w:t xml:space="preserve">Federal Regulation. </w:t>
      </w:r>
      <w:r>
        <w:rPr>
          <w:rFonts w:ascii="Arial" w:cs="Arial" w:eastAsia="Arial" w:hAnsi="Arial"/>
          <w:sz w:val="18"/>
          <w:szCs w:val="18"/>
          <w:color w:val="auto"/>
        </w:rPr>
        <w:t>Our business is regulated by the FCC. As a communication services provider, we are subject to FCC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privacy, disability access, law enforcement access, porting of numbers, revenue reporting, Federal USF contributions and other regulatory assessments, E</w:t>
      </w:r>
      <w:r>
        <w:rPr>
          <w:rFonts w:ascii="MS PGothic" w:cs="MS PGothic" w:eastAsia="MS PGothic" w:hAnsi="MS PGothic"/>
          <w:sz w:val="18"/>
          <w:szCs w:val="18"/>
          <w:color w:val="auto"/>
        </w:rPr>
        <w:t>‑</w:t>
      </w:r>
      <w:r>
        <w:rPr>
          <w:rFonts w:ascii="Arial" w:cs="Arial" w:eastAsia="Arial" w:hAnsi="Arial"/>
          <w:sz w:val="18"/>
          <w:szCs w:val="18"/>
          <w:color w:val="auto"/>
        </w:rPr>
        <w:t>911, and other matters. If we do not comply with FCC rules and regulations, we could be subject to FCC enforcement actions, substantial fines, loss of licenses, potential private right of actions and possibly restrictions on our ability to operate or offer certain of our services. Any enforcement action by the FCC, which may include a public process, would hurt our reputation in the industry, possibly impair our ability to sell our services to customers and could have a materially adverse impact on our revenue.</w:t>
      </w:r>
    </w:p>
    <w:p>
      <w:pPr>
        <w:spacing w:after="0" w:line="76" w:lineRule="exact"/>
        <w:rPr>
          <w:sz w:val="20"/>
          <w:szCs w:val="20"/>
          <w:color w:val="auto"/>
        </w:rPr>
      </w:pPr>
    </w:p>
    <w:p>
      <w:pPr>
        <w:jc w:val="both"/>
        <w:ind w:right="20" w:firstLine="374"/>
        <w:spacing w:after="0" w:line="253"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We are also subject to state consumer protection laws, as well as U.S. state, municipal and local sales, use, excise,</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user and ad valorem taxes, fees or surcharges. The imposition of such regulatory obligations or the imposition of additional taxes on our services could increase our cost of doing business and limit our growth.</w:t>
      </w:r>
    </w:p>
    <w:p>
      <w:pPr>
        <w:spacing w:after="0" w:line="6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i w:val="1"/>
          <w:iCs w:val="1"/>
          <w:color w:val="auto"/>
        </w:rPr>
        <w:t xml:space="preserve">International Regulation. </w:t>
      </w:r>
      <w:r>
        <w:rPr>
          <w:rFonts w:ascii="Arial" w:cs="Arial" w:eastAsia="Arial" w:hAnsi="Arial"/>
          <w:sz w:val="18"/>
          <w:szCs w:val="18"/>
          <w:color w:val="auto"/>
        </w:rPr>
        <w:t>As we expand internationally, we may be subject to telecommunications, consumer protection, data privacy</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laws and regulations in the foreign countries where we offer our services. For example, we are subject to regulation in Canada by the CRTC, subject to Canadian federal privacy laws and provincial consumer protection legislation. Our international operations are potentially subject to country-specific governmental regulation and related actions that may increase our costs and prevent us from offering or providing our products and services in certain countries. Certain of our services may be used by customers located in countries where VoIP and other forms of IP communications may be illegal or require special licensing. In countries where local laws and regulations prohibit (or come to prohibit) the use of our products, users may continue to use our products and services, which could subject us to costly penalties or governmental action adverse to our business and damaging to our brand and reputation, our international expansion efforts, or our business and operating results.</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adoption of additional 911 requirements by the FCC could increase our costs that could make our service more expensive, decrease our profit margins, or both.</w:t>
      </w:r>
    </w:p>
    <w:p>
      <w:pPr>
        <w:spacing w:after="0" w:line="31" w:lineRule="exact"/>
        <w:rPr>
          <w:sz w:val="20"/>
          <w:szCs w:val="20"/>
          <w:color w:val="auto"/>
        </w:rPr>
      </w:pPr>
    </w:p>
    <w:p>
      <w:pPr>
        <w:jc w:val="both"/>
        <w:ind w:firstLine="374"/>
        <w:spacing w:after="0" w:line="207" w:lineRule="exact"/>
        <w:rPr>
          <w:sz w:val="20"/>
          <w:szCs w:val="20"/>
          <w:color w:val="auto"/>
        </w:rPr>
      </w:pPr>
      <w:r>
        <w:rPr>
          <w:rFonts w:ascii="Arial" w:cs="Arial" w:eastAsia="Arial" w:hAnsi="Arial"/>
          <w:sz w:val="18"/>
          <w:szCs w:val="18"/>
          <w:color w:val="auto"/>
        </w:rPr>
        <w:t>The FCC has adopted additional 911 requirements for interconnected VoIP providers, providers of enterprise telephone services, non-interconnected VoIP providers and texting providers. We may or may not be able to comply with these obligations. For example, beginning January 6, 2022, providers of non-fixed interconnected VoIP services must supply automated dispatchable location, if technically feasible, or either registered location information obtained by the customer or alternative location information. At present, we have no means to automatically identify the physical location of our customers. Our obligation to comply with the FCC’s VoIP E-911 order and related costs puts us at a competitive disadvantage to VoIP service providers who are either not subject to the requirements or have chosen not to comply with the FCC’s mandates. We cannot guarantee emergency calling service consistent with the VoIP E</w:t>
      </w:r>
      <w:r>
        <w:rPr>
          <w:rFonts w:ascii="MS PGothic" w:cs="MS PGothic" w:eastAsia="MS PGothic" w:hAnsi="MS PGothic"/>
          <w:sz w:val="18"/>
          <w:szCs w:val="18"/>
          <w:color w:val="auto"/>
        </w:rPr>
        <w:t>‑</w:t>
      </w:r>
      <w:r>
        <w:rPr>
          <w:rFonts w:ascii="Arial" w:cs="Arial" w:eastAsia="Arial" w:hAnsi="Arial"/>
          <w:sz w:val="18"/>
          <w:szCs w:val="18"/>
          <w:color w:val="auto"/>
        </w:rPr>
        <w:t xml:space="preserve"> 911 order will be available to all of our customers, especially those accessing our services on a mobile device or from outside of the U.S. The FCC’s current E-911 requirements and changes to those requirements, including their impact on our customers due to service price increases or other factors could have a material adverse effect on our business, financial condition or operating results.</w:t>
      </w:r>
    </w:p>
    <w:p>
      <w:pPr>
        <w:spacing w:after="0" w:line="7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cannot comply with the FCC’s rules imposing call signaling requirements on VoIP providers like us, we may be subject to fines, cease and desist orders, or other penalties.</w:t>
      </w:r>
    </w:p>
    <w:p>
      <w:pPr>
        <w:spacing w:after="0" w:line="3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The FCC’s rules regarding the system of compensation for various types of traffic require, among other things, interconnected VoIP providers like us, who originate interstate or intrastate traffic destined for the PSTN, to transmit the telephone number associated with the calling party to the next provider in the call path. Intermediate providers must pass unaltered calling party number or charge number signaling information they receive from other providers to subsequent providers in the call path. In addition, effective June 30, 2021, the FCC began requiring voice service providers in the U.S. either to fully implement “STIR/SHAKEN” technology on their entire networks or implement a robocall mitigation program on those portions of their networks that are not STIR/SHAKEN-enabled. Canada is also currently in the process of implementing STIR/SHAKEN requirements. Although we have implemented STIR/SHAKEN in the U.S. and are in the process of implementing STIR/SHAKEN in Canada, to the extent that we inadvertently pass traffic that does not have appropriate calling party number or charge number information, we could be subject to fines, cease and desist orders, or other penalties. Similarly, to the extent that we cannot authenticate our customers, their traffic may be more likely to be blocked or adversely labeled. Additionally, as a VoIP provider, we rely on the FCC to design rules that do not disadvantage our service relative to those of incumbent local exchange carriers and competitive local exchange carriers. Should the FCC decide to do so, it could result in an inferior user experience for Ooma’s service, which may negatively impact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not be able to comply with FCC rules governing completion of calls to rural areas and related reporting requirements.</w:t>
      </w:r>
    </w:p>
    <w:p>
      <w:pPr>
        <w:spacing w:after="0" w:line="1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FCC’s rules governing the completion of calls to rural areas and related reporting requirements require us, among other things, to monitor the performance of our intermediate providers – telecom companies we use to help complete telephone calls to rural areas and take steps to prevent rural call completion problems that may be caused by our intermediate providers, such as persistent low answer or completion rates, unexplained anomalies in performance, or repeated complaints to the FCC. Under certain circumstances, if our routing choices, meaning the intermediate providers we chose to help us complete calls to rural areas, result in lower quality service, we may be held liable for the actions taken by our intermediate providers. If we cannot comply with these rules, we could be subject to investigation and enforcement action and could be exposed to substantial liability. The FCC also has increased enforcement activity related to completion of calls to rural customers, and we could be subject to substantial fines and to conduct requirements that could increase our costs if we are the subject of an enforcement proceeding and cannot demonstrate calls from our customers to rural customers are completed at a satisfactory rate.</w:t>
      </w:r>
    </w:p>
    <w:p>
      <w:pPr>
        <w:spacing w:after="0" w:line="7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Failure to comply with communications and telemarketing laws could result in significant fines or place significant restrictions on our business.</w:t>
      </w:r>
    </w:p>
    <w:p>
      <w:pPr>
        <w:spacing w:after="0" w:line="31"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We rely on a variety of marketing techniques in connection with our sales efforts, including telemarketing and email marketing campaigns. We also record certain telephone calls between our customers or potential customers and our sales and service representatives for training and quality assurance purposes. These activities are subject to a variety of state and federal laws such as the Telephone Consumer Protection Act of 1991 (also known as the Federal Do-Not-Call law, or the TCPA), the Telemarketing Sales Rule, the Controlling the Assault of Non-Solicited Pornography and Marketing Act of 2003 (also known as the CAN-SPAM Act) and various U.S. state laws regarding telemarketing and telephone call recording. These laws are subject to varying interpretations by courts and governmental authorities and often require subjective interpretation, making it difficult to predict their application and therefore making our compliance efforts more challenging. We cannot be certain our efforts to comply with these laws, rules and regulations will be successful, or, if they are successful, that the cost of such compliance will not be material to our business. Changes to these or similar laws, or to their application or interpretation, or new laws, rules and regulations governing our communication and marketing activities could adversely affect our business. In the event that any of these laws, rules or regulations significantly restricts our business, we may not be able to develop adequate alternative communication and marketing strategies. Further, non-compliance with these laws, rules and regulations carries significant financial penalties and the risk of class action litigation, which would adversely affect our financial performance and significantly harm our reputation and our business.</w:t>
      </w:r>
    </w:p>
    <w:p>
      <w:pPr>
        <w:spacing w:after="0" w:line="8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FCC has continued to increase regulation of interconnected VoIP services and may at any time determine certain VoIP services are telecommunications services subject to traditional common carrier regulation.</w:t>
      </w:r>
    </w:p>
    <w:p>
      <w:pPr>
        <w:spacing w:after="0" w:line="31"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 FCC is considering, in various proceedings, issues arising from the transition from traditional copper networks to IP networks. The FCC is also considering whether interconnected VoIP services should be treated as telecommunications services, which could subject interconnected VoIP services to additional common carrier regulation. The FCC’s efforts may result in additional regulation of IP network and service providers, which may negatively affect our business.</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Reform of federal and state Universal Service Fund programs could increase the cost of our service to our customers, diminishing or eliminating our pricing advantage.</w:t>
      </w:r>
    </w:p>
    <w:p>
      <w:pPr>
        <w:spacing w:after="0" w:line="3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The FCC and a number of states are considering reform or other modifications to USF programs, including the manner in which companies, like us, contribute to the federal USF program, and whether certain non-interconnected VoIP providers and broadband providers, among others, should contribute to the USF. If the FCC or certain states adopt new contribution mechanisms or otherwise modify contribution obligations that continue to increase our contribution burden, we will either need to absorb the increased costs or raise the amount we currently collect from some of our customers to cover these obligations, which would either reduce our profit margins or diminish our price advantage. A number of states require us to contribute funds to state USF programs, while others are actively considering extending their programs to include the services we provide. We currently charge our customers certain fees and other surcharges, which may result in our services becoming less competitive as compared to those provided by others. If our pricing advantage is diminished or eliminated, or if we are required to absorb these increased costs and not pass-through to our customers, our results of operations would be negatively impacted.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4" w:name="page35"/>
    <w:bookmarkEnd w:id="34"/>
    <w:p>
      <w:pPr>
        <w:jc w:val="both"/>
        <w:ind w:right="20"/>
        <w:spacing w:after="0" w:line="239" w:lineRule="exact"/>
        <w:rPr>
          <w:sz w:val="20"/>
          <w:szCs w:val="20"/>
          <w:color w:val="auto"/>
        </w:rPr>
      </w:pPr>
      <w:r>
        <w:rPr>
          <w:rFonts w:ascii="Arial" w:cs="Arial" w:eastAsia="Arial" w:hAnsi="Arial"/>
          <w:sz w:val="18"/>
          <w:szCs w:val="18"/>
          <w:b w:val="1"/>
          <w:bCs w:val="1"/>
          <w:i w:val="1"/>
          <w:iCs w:val="1"/>
          <w:color w:val="auto"/>
        </w:rPr>
        <w:t>Our products must comply with industry standards, FCC regulations, state, local, country</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specific and international regulations, and changes may require us to modify existing products and/or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-222250</wp:posOffset>
            </wp:positionV>
            <wp:extent cx="6413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45"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In addition to reliability and quality standards, the market acceptance of telephony over broadband IP networks is dependent upon the adoption of industry standards so that products from multiple manufacturers are able to communicate with each other. Our unique hybrid SaaS connectivity platforms rely on communication standards such as SIP, SRTP and network standards such as TCP/IP and UDP to interoperate with other vendors’ equipment. There is currently a lack of agreement among industry leaders about which standard should be used for a particular application and about the definition of the standards themselves. We also must comply with certain rules and regulations of the FCC regarding electromagnetic radiation and safety standards established by Underwriters Laboratories (“UL”), as well as similar regulations and standards applicable in other countries. In addition, the market acceptance of POTS replacement products such as Ooma AirDial will depend on compliance with industry standards such as National Fire Protection Association NFPA 72, UL 864 and American Society of Mechanical Engineers ASME A17.1B. As standards evolve, we may be required to modify our existing products or develop and support new versions of our products. We must comply with certain federal, state and local requirements regarding how we interact with our customers, including marketing practices, consumer protection, privacy, and billing issues, the provision of 9-1-1 emergency service and the quality of service we provide to our customers. The failure of our products and services to comply, or delays in compliance, with various existing and evolving standards could delay or interrupt volume production of our VoIP telephony products, subject us to fines or other imposed penalties, or harm the perception and adoption rates of our service, any of which would have a material adverse effect on our business, financial condition or operating results.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process, store, and use personal information and other data, which subjects us and our customers to a variety of evolving industry standards, contractual obligations and other legal rules related to privacy, which may increase our costs, decrease adoption and use of our products and services, and expose us to liability.</w:t>
      </w:r>
    </w:p>
    <w:p>
      <w:pPr>
        <w:spacing w:after="0" w:line="51"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There are numerous U.S. federal, state and local, and foreign laws and regulations, as well as contractual obligations and industry standards, that provide for certain obligations and restrictions with respect to data privacy and security, and the collection, storage, retention, protection, use, processing, transmission, sharing, disclosure, and protection of personal information and other customer data. The scope of these obligations and restrictions is changing, subject to differing interpretations, and may be inconsistent among countries or conflict with other rules, and their status remains uncertain.</w:t>
      </w:r>
    </w:p>
    <w:p>
      <w:pPr>
        <w:spacing w:after="0" w:line="6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In the U.S. and in other jurisdictions, a variety of regulations are currently being proposed that would increase restrictions on online service providers in the field of data privacy and security, and we believe that the adoption of such increasingly restrictive regulation is likely. For example, the California Consumer Privacy Act (the “CCPA”) regulates the processing of personal data, which could result in civil penalties for violations. In addition, a new privacy law, the California Privacy Rights Act (“CPRA”) will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The full impact of the CPRA on our business is yet to be determined. The CPRA modifies the CCPA, potentially resulting in further uncertainty and requiring us to incur additional costs and expenses in an effort to comply.</w:t>
      </w:r>
    </w:p>
    <w:p>
      <w:pPr>
        <w:spacing w:after="0" w:line="72"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In Canada, penalties for non -compliance with certain Canadian anti-spam legislation are considerable, including administrative monetary penalties of up to $10 million and a private right of action.</w:t>
      </w:r>
    </w:p>
    <w:p>
      <w:pPr>
        <w:spacing w:after="0" w:line="46"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Within the EU, strict laws apply in connection with the collection, storage, retention, use, processing, transmission, sharing, disclosure and protection of personal information, and other customer data. Data protection regulators within the EU and other jurisdictions have the power to fine non-compliant organizations significant amounts and seek injunctive relief, including the cessation of certain data processing activities. For example, the EU’s General Data Protection Regulation, or GDPR, comprehensively regulates the processing of personal data of any individual residing in the EU. The GDPR provides for significant penalties in the event of violations, including fines of up to 4% of the violating company’s worldwide revenue. We have taken administrative, contractual and other measures designed to achieve compliance with the GDPR, but we cannot guarantee these measures are sufficient. While the United Kingdom’s Data Protection Act substantially implements the GDPR, the United Kingdom’s exit from the European Union has created regulatory uncertainty, including the cross-border transfer of data. Such uncertainty may adversely impact the operations of our U.K. subsidiary by adding operational complexities and expenses. In addition, on July 16, 2020, the Court of Justice of the European Union, or the CJEU, invalidated the Privacy Shield program, which allowed transfers of EU personal data to the U.S. for participating companies consistent with European privacy requirements for transfer of such data to non-EU countries. The Court also raised concerns about transfer of personal data to the U.S. under standard contractual clauses, or SCCs. Although European regulators have since issued a new set of SCCs for data transfers to the U.S., the new SCCs do not address every concern raised by the CJEU. As a result, the CJEU decision has created uncertainty about data transfer to the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bookmarkStart w:id="35" w:name="page36"/>
    <w:bookmarkEnd w:id="35"/>
    <w:p>
      <w:pPr>
        <w:jc w:val="both"/>
        <w:ind w:firstLine="374"/>
        <w:spacing w:after="0"/>
        <w:rPr>
          <w:sz w:val="20"/>
          <w:szCs w:val="20"/>
          <w:color w:val="auto"/>
        </w:rPr>
      </w:pPr>
      <w:r>
        <w:rPr>
          <w:rFonts w:ascii="Arial" w:cs="Arial" w:eastAsia="Arial" w:hAnsi="Arial"/>
          <w:sz w:val="18"/>
          <w:szCs w:val="18"/>
          <w:color w:val="auto"/>
        </w:rPr>
        <w:t>Obligations and restrictions imposed by current and future applicable laws, regulations, contracts and industry standards, in particular as we continue to expand our international operations, may increase the cost of our operations, affect our ability to provide all the current features of our business, residential and mobile products and services and our customers’ ability to use our products and services, and could require us to modify the features and functionality of our products and services. Such obligations and restrictions may limit our ability to collect, store, process, use, transmit and share data, and to allow our customers to collect, store, retain, protect, use, process, transmit, share and disclose data with others through our products and services. Compliance with such obligations and restrictions could increase the cost of our operations. Failure to comply with obligations and restrictions related to data privacy and security could subject us to lawsuits, fines, criminal penalties, statutory damages, consent decrees, injunctions, adverse publicity and other losses that could harm our business.</w:t>
      </w:r>
    </w:p>
    <w:p>
      <w:pPr>
        <w:spacing w:after="0" w:line="7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Our customers can use our services to store contact and other personal or identifying information, and to process, transmit, receive, store and retrieve a variety of communications and messages, including, for our Ooma Business customers, information about their own customers and other contacts. In addition, customers may use our services to transmit and store protected health information, or PHI, that is protected under the Health Insurance Portability and Accountability Act, or HIPAA. Noncompliance with laws and regulations relating to privacy such as HIPAA may lead to significant fines, penalties or liabilities. Our actual compliance, our customers’ perception of our compliance, costs of compliance with such regulations and customer concerns regarding their own compliance obligations (whether factual or in error) may limit the use and adoption of our service and reduce overall demand. Furthermore, privacy concerns, including the inability or impracticality of providing advance notice to customers of privacy issues related to the use of our services, may cause our customers’ customers to resist providing the personal data necessary to allow our customers to use our services effectively. Even the perception of privacy concerns, whether or not valid, may inhibit market adoption of our service in certain industries.</w:t>
      </w:r>
    </w:p>
    <w:p>
      <w:pPr>
        <w:spacing w:after="0" w:line="72"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In addition to government activity, privacy advocacy groups and industry groups have adopted and are considering the adoption of various self-regulatory standards and codes of conduct that may place additional burdens on us and our customers, which may further reduce demand for our services and harm our business.</w:t>
      </w:r>
    </w:p>
    <w:p>
      <w:pPr>
        <w:spacing w:after="0" w:line="6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While we try to comply with all applicable data protection laws, regulations, standards, and codes of conduct, as well as our own posted privacy policies and contractual commitments to the extent possible, any failure by us to protect our users’ privacy and data, including as a result of our systems being compromised by hacking or other malicious or surreptitious activity, could result in a loss of user confidence in our services and ultimately in a loss of users, which could materially and adversely affect our business. Our customers may also accidentally disclose their passwords, store them on a mobile device that is lost or stolen, or otherwise fall prey to attacks outside our system, creating the perception that our systems are not secure against third-party access. If our third-party contractors or vendors violate applicable laws or our policies, such violations may also put our customers’ information at risk and could in turn have a material and adverse effect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or delivery of our services may become subject to new or increased regulatory requirements, taxes or fees.</w:t>
      </w:r>
    </w:p>
    <w:p>
      <w:pPr>
        <w:spacing w:after="0" w:line="1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increasing growth and popularity of internet voice communications heighten the risk that governments will regulate or impose new or increased fees or taxes on internet voice communications services. To the extent the use of our services continues to grow, regulators may be more likely to seek to regulate or impose new or additional taxes, surcharges or fees on our services. Similarly, advances in technology, such as improvements in locating the geographic origin of internet voice communications, could cause our services to become subject to additional regulations, fees or taxes, or could require us to invest in or develop new technologies, which may be costly. In addition, as we continue to expand our user base and offer more services, we may become subject to new regulations, taxes, surcharges or fees. Increased regulatory requirements, taxes, surcharges or fees on internet voice communications services, which could be assessed by governments retroactively or prospectively, would substantially increase our costs, and, as a result, our business would suffer. In addition, the tax status of our services could subject us to conflicting taxation requirements and complexity with regard to the collection and remittance of applicable taxes. Any such additional taxes could harm our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jc w:val="both"/>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31" w:lineRule="exact"/>
        <w:rPr>
          <w:sz w:val="20"/>
          <w:szCs w:val="20"/>
          <w:color w:val="auto"/>
        </w:rPr>
      </w:pPr>
    </w:p>
    <w:p>
      <w:pPr>
        <w:jc w:val="both"/>
        <w:ind w:firstLine="374"/>
        <w:spacing w:after="0" w:line="207" w:lineRule="exact"/>
        <w:rPr>
          <w:sz w:val="20"/>
          <w:szCs w:val="20"/>
          <w:color w:val="auto"/>
        </w:rPr>
      </w:pPr>
      <w:r>
        <w:rPr>
          <w:rFonts w:ascii="Arial" w:cs="Arial" w:eastAsia="Arial" w:hAnsi="Arial"/>
          <w:sz w:val="18"/>
          <w:szCs w:val="18"/>
          <w:color w:val="auto"/>
        </w:rPr>
        <w:t>We are subject to the FCPA, the U.S. domestic bribery statute contained in 18 U.S.C. § 201, the U.S. Travel Act, the USA PATRIOT Act, and possibly other anti-bribery and anti</w:t>
      </w:r>
      <w:r>
        <w:rPr>
          <w:rFonts w:ascii="MS PGothic" w:cs="MS PGothic" w:eastAsia="MS PGothic" w:hAnsi="MS PGothic"/>
          <w:sz w:val="18"/>
          <w:szCs w:val="18"/>
          <w:color w:val="auto"/>
        </w:rPr>
        <w:t>‑</w:t>
      </w:r>
      <w:r>
        <w:rPr>
          <w:rFonts w:ascii="Arial" w:cs="Arial" w:eastAsia="Arial" w:hAnsi="Arial"/>
          <w:sz w:val="18"/>
          <w:szCs w:val="18"/>
          <w:color w:val="auto"/>
        </w:rPr>
        <w:t xml:space="preserve"> 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We use third -party representatives for product testing, customs, export, and import matters outside of the U.S. As we increase our international sales and business, we may engage with business partners and third-party intermediaries to sell our products and services abroad and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75"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significant defense costs and other professional fees. Enforcement actions and sanctions could further harm our business, results of operations, and financial condition.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governmental sanctions and export and import controls, economic embargoes and trade sanctions that could impair our ability to expand our business to, and compete in, international markets and could subject us to liability if we are not in compliance with applicable laws.</w:t>
      </w:r>
    </w:p>
    <w:p>
      <w:pPr>
        <w:spacing w:after="0" w:line="5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Our products and services are subject to export and import laws and regulations, including the U.S. Export Administration Regulations, U.S. Customs regulations, and various economic and trade sanctions regulations administered by the U.S. Treasury Department’s Office of Foreign Assets Controls. U.S. export control laws and economic sanctions programs generally prohibit the export of certain products and services to countries, governments and persons subject to U.S. economic embargoes and trade sanctions unless a license, approval, or other authorization is obtained from the U.S. Government. Obtaining the necessary authorizations and licenses for a particular sale may be time-consuming, is not guaranteed and may result in the delay or loss of sales opportunities. If we fail to comply with these laws and regulations, we and certain of our employees could be subject to substantial civil or criminal penalties, including the possible loss of export or import privileges, government investigations, reputational harm, fines which may be imposed on us and responsible employees or managers, and, in extreme cases, the incarceration of responsible employees or managers.</w:t>
      </w:r>
    </w:p>
    <w:p>
      <w:pPr>
        <w:spacing w:after="0" w:line="75"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In addition, any changes in our products or services, or changes in applicable export, import, embargo and trade sanctions regulations, may create delays in the introduction and sale of our products and services in international markets or, in some cases, prevent the export or import of our products and services to certain countries, governments, or persons altogether. Any change in export, import, embargo, or trade sanctions regulations, shift in the enforcement or scope of existing regulations, or change in the countries, governments, persons or technologies targeted by such regulations, could also result in decreased use of our products and services, or in our decreased ability to export or sell our products and services to existing or potential customers with international operations. Any decreased use of our products and services or limitation on our ability to export or sell our products and services would likely adversely affect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may be subject to liabilities on past services for taxes, surcharges and fees.</w:t>
      </w:r>
    </w:p>
    <w:p>
      <w:pPr>
        <w:spacing w:after="0" w:line="102"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We collect and remit state or municipal sales, use, excise, utility user and ad valorem taxes, fees, or surcharges on the charges to our customers for our services or goods in only those jurisdictions where we believe we have a legal obligation to do so or for business reasons to reduce risk. In addition, we have historically substantially complied with the collection of certain California sales/use taxes and financial contributions to the California 9-1-1 system (the Emergency Telephone Users Surcharge) and federal USF. With limited exception, we believe we are generally not subject to taxes, fees, or surcharges imposed by other state and municipal jurisdictions or that such taxes, fees, or surcharges do not apply to our service. There is uncertainty as to what constitutes sufficient “in state presence” for a state or local municipality to levy taxes, fees and surcharges for sales made over the internet. Taxing authorities have in the past, and likely will in the future, challenge our position on the lack of enforceability of such taxes, fees and surcharges where we have no relevant presence, and audit our business and operations with respect to sales, use, telecommunications and other taxes, which could result in increased tax liabilities for us or our customers, which could materially and adversely affect our results of operations and our relationships with our customers. Finally, the application of other indirect taxes (such as sales and use tax, value added tax, or VAT, goods and services tax, business tax, and gross receipt tax) to e-commerce businesses, such as ours, is a complex and evolving area. The application of existing, new, or future laws, whether in the U.S. or internationally, could have adverse effects on our business, prospects, and results of operations. There have been, and will continue to be, substantial ongoing costs associated with complying with the various indirect tax requirements in the numerous markets in which we conduct or will conduct business.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effective tax rates could be subject to volatility or adversely affected by a number of factors, including:</w:t>
      </w:r>
    </w:p>
    <w:p>
      <w:pPr>
        <w:spacing w:after="0" w:line="104" w:lineRule="exact"/>
        <w:rPr>
          <w:sz w:val="20"/>
          <w:szCs w:val="20"/>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valuation of our deferred tax assets and liabilities;</w:t>
      </w:r>
    </w:p>
    <w:p>
      <w:pPr>
        <w:spacing w:after="0" w:line="3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or lapses in, the research and development tax credit laws;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or non-utilization of net operating loss carryforwards;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tax effects of share-based compensation;</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certain non-deductible expenses as a result of acquisitions;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into new jurisdictions;</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challenges to and costs related to implementation and ongoing operation of our intercompany arrangements; and</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and regulations and accounting principles, or interpretations or applications thereof.</w:t>
      </w:r>
    </w:p>
    <w:p>
      <w:pPr>
        <w:spacing w:after="0" w:line="107"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As we expand our operations outside the U.S. and Canada, certain changes to U.S. tax laws, including limitations on the ability to defer U.S. taxation on earnings outside of the U.S. until those earnings are repatriated to the U.S. could affect the tax treatment of our foreign earnings. Any changes in our effective tax rate could adversely affect our results of operations.</w:t>
      </w:r>
    </w:p>
    <w:p>
      <w:pPr>
        <w:spacing w:after="0" w:line="6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unable to use some or all of our net operating loss carryforwards, which could materially and adversely affect our reported financial condition and results of operations.</w:t>
      </w:r>
    </w:p>
    <w:p>
      <w:pPr>
        <w:spacing w:after="0" w:line="3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As of January 31, 2022, we had federal and state net operating loss carryforwards, or NOLs, of $125.1 million and $94.8 million, respectively, available to offset future taxable income, which will begin to expire in 2030 if not utilized. We also have federal and research and development tax credit carryforwards that will begin to expire in 2030 and California research and development tax credit carryforwards with no expiration date. Realization of these net operating loss and research tax credit carryforwards depends on future income, and there is a risk that our existing carryforwards could expire unused and be unavailable to offset future income tax liabilities, which could materially and adversely affect our results of operations. No deferred tax assets have been recognized on our balance sheet related to these NOLs, as they are fully reserved by a valuation allowance. If we have previously had, or have in the future, one or more Section 382 “ownership changes”, or if we do not generate sufficient taxable income, we may not be able to utilize a material portion of our NOLs, even if we achieve profitability. If we are limited in our ability to use our NOLs in future years in which we have taxable income, we will pay more taxes than if we were able to fully utilize our NOLs. This could materially and adversely affect our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005581"/>
        </w:rPr>
        <w:t>Risks Related to Being a Public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which may adversely affect investor confidence in our company and, as a result, the value of our common stock.</w:t>
      </w:r>
    </w:p>
    <w:p>
      <w:pPr>
        <w:spacing w:after="0" w:line="5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Pursuant to Section 404 of the Sarbanes-Oxley Act, we are required to make a formal assessment and provide an annual management report on the effectiveness of our internal control over financial reporting. We expect that the requirements of these rules and regulations will continue to increase our compliance costs, make some activities more difficult, time-consuming and costly, and place significant demands on our financial and operational resources, as well as IT systems. Our control environment may not be sufficient to remediate or prevent future material weaknesses or significant deficiencies from occurring. A control system, no matter how well designed and operated, can provide only reasonable assurance that the control system’s objectives will be met. Due to the inherent limitations in all control systems, no evaluation of controls can provide absolute assurance that misstatements due to error or fraud will not occur or that all control issues and all instances of fraud will be detected.</w:t>
      </w:r>
    </w:p>
    <w:p>
      <w:pPr>
        <w:spacing w:after="0" w:line="72"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Our independent registered public accounting firm is required to and has issued an attestation report on the effectiveness of our internal control over financial reporting as of January 31, 2022. If we are unable to conclude that our internal control over financial reporting is effective, or if our independent registered public accounting firm is unable to express an opinion as to the effectiveness of our internal control over financial reporting, investors could lose confidence in the accuracy and reliability of our financial reports, which would cause the price of our common stock to decline, and we could be subject to sanctions or investigations by regulatory authorities, including the SEC and the New York Stock Exchange.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102" w:lineRule="exact"/>
        <w:rPr>
          <w:sz w:val="20"/>
          <w:szCs w:val="20"/>
          <w:color w:val="auto"/>
        </w:rPr>
      </w:pPr>
    </w:p>
    <w:p>
      <w:pPr>
        <w:jc w:val="both"/>
        <w:ind w:firstLine="374"/>
        <w:spacing w:after="0" w:line="207" w:lineRule="exact"/>
        <w:rPr>
          <w:sz w:val="20"/>
          <w:szCs w:val="20"/>
          <w:color w:val="auto"/>
        </w:rPr>
      </w:pPr>
      <w:r>
        <w:rPr>
          <w:rFonts w:ascii="Arial" w:cs="Arial" w:eastAsia="Arial" w:hAnsi="Arial"/>
          <w:sz w:val="18"/>
          <w:szCs w:val="18"/>
          <w:color w:val="auto"/>
        </w:rPr>
        <w:t>From time to time, we plan to release earnings guidance in our quarterly earnings conference calls, quarterly earnings releases, or otherwise, regarding our future performance that represents our management’s estimates as of the date of release. This guidance, which will include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Accordingly, we do not accept any responsibility for any projections or reports published by any such third parties.</w:t>
      </w:r>
    </w:p>
    <w:p>
      <w:pPr>
        <w:spacing w:after="0" w:line="75"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6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005581"/>
        </w:rPr>
        <w:t>Risks Related to Ownership of Our Common Stock</w:t>
      </w:r>
    </w:p>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stock price has been and may continue to be volatile, or may fluctuate or decline, resulting in a substantial loss of your investment.</w:t>
      </w:r>
    </w:p>
    <w:p>
      <w:pPr>
        <w:spacing w:after="0" w:line="2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Our stock price may fluctuate in response to a number of events and factors, such as quarterly operating results; changes in our financial projections provided to the public or our failure to meet those projections; our operating and financial performance and prospects and the performance of other similar companies; the public's reaction to our press releases, other public announcements and filings with the SEC; significant transactions, or new features, products or services by us or our competitors; changes in financial estimates and recommendations by securities analysts; failure of securities analysts to cover or track our common stock; media coverage of our business and financial performance; trends in our industry; any significant change in our management; sales of common stock by us, our investors or members of our management team; and changes in general market, economic and political conditions in the U.S. and global economies or financial markets, including as a result of public health crises.</w:t>
      </w:r>
    </w:p>
    <w:p>
      <w:pPr>
        <w:spacing w:after="0" w:line="7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factors described in this “Risk Factors” section or otherwise, and other factors beyond our control, such as fluctuations in the valuations of companies perceived by investors to be comparable to us. In addition, the stock market in general, and the market prices for companies in our industry, have experienced volatility that often has been unrelated to operating performance. These broad market and industry fluctuations may adversely affect the price of our stock, regardless of our operating performance. In the past, many companies that have experienced volatility in their stock price have become subject to securities class action litigation. We have been subject to this type of litigation in the past and may continue to be a target in the future. Securities litigation against us has resulted and could result in substantial costs and has and would divert our management’s attention from other business concerns, any of which could harm our business.</w:t>
      </w:r>
    </w:p>
    <w:p>
      <w:pPr>
        <w:spacing w:after="0" w:line="72"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If we fail to meet expectations related to future growth, profitability, or other market expectations, our stock price may decline significantly, which could have a material adverse impact on investor confidence and employee retention.</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or the perception these sales might occur, could cause our stock price to decline.</w:t>
      </w:r>
    </w:p>
    <w:p>
      <w:pPr>
        <w:spacing w:after="0" w:line="28"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these sales might occur, could cause the market price of our common stock to decline and could impair our ability to raise capital through the sale of additional equity securities. In addition, we have registered shares of common stock which we may issue under our employee stock plans and they may be sold freely in the public market upon issuance. We may issue our shares of common stock or securities convertible into our common stock from time to time in connection with a financing, acquisition, and investments or otherwise. Any such issuance could result in substantial dilution to our existing stockholders and cause the trading price of our common stock to decline.</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securities analysts do not publish or cease publishing research or reports about our business or if they publish negative evaluations of our stock, the price of our stock could decline.</w:t>
      </w:r>
    </w:p>
    <w:p>
      <w:pPr>
        <w:spacing w:after="0" w:line="28"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We expect that the trading price for our common stock will be affected by any research or reports that industry or financial analysts publish about us or our business. If one or more of the analysts who elect to cover us downgrade their evaluations of our stock or provide more favorable relative recommendations about our competitors, the price of our stock could decline. If one or more of these analysts cease coverage of our company, our stock may lose visibility in the market, which in turn could cause its price to decline.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cash dividends and do not anticipate paying any cash dividends on our common stock.</w:t>
      </w:r>
    </w:p>
    <w:p>
      <w:pPr>
        <w:spacing w:after="0" w:line="10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We do not anticipate paying any cash dividends on our common stock in the foreseeable future. If we do not pay cash dividends, you would receive a return on your investment in our common stock only if the market price of our common stock increases before you sell your shares.</w:t>
      </w:r>
    </w:p>
    <w:p>
      <w:pPr>
        <w:spacing w:after="0" w:line="61"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charter documents and Delaware law could prevent a takeover that stockholders consider favorable and could also reduce the market price of our stock.</w:t>
      </w:r>
    </w:p>
    <w:p>
      <w:pPr>
        <w:spacing w:after="0" w:line="28"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2" w:lineRule="exact"/>
        <w:rPr>
          <w:sz w:val="20"/>
          <w:szCs w:val="20"/>
          <w:color w:val="auto"/>
        </w:rPr>
      </w:pPr>
    </w:p>
    <w:p>
      <w:pPr>
        <w:ind w:left="880" w:hanging="508"/>
        <w:spacing w:after="0"/>
        <w:tabs>
          <w:tab w:leader="none" w:pos="8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for a classified board of directors with staggered, three-year terms;</w:t>
      </w:r>
    </w:p>
    <w:p>
      <w:pPr>
        <w:spacing w:after="0" w:line="21" w:lineRule="exact"/>
        <w:rPr>
          <w:rFonts w:ascii="Times New Roman" w:cs="Times New Roman" w:eastAsia="Times New Roman" w:hAnsi="Times New Roman"/>
          <w:sz w:val="18"/>
          <w:szCs w:val="18"/>
          <w:color w:val="auto"/>
        </w:rPr>
      </w:pPr>
    </w:p>
    <w:p>
      <w:pPr>
        <w:ind w:left="880" w:hanging="508"/>
        <w:spacing w:after="0" w:line="247" w:lineRule="auto"/>
        <w:tabs>
          <w:tab w:leader="none" w:pos="8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the issuance of “blank check” preferred stock that our board of directors could issue to increase the number of outstanding shares to discourage a takeover attempt;</w:t>
      </w:r>
    </w:p>
    <w:p>
      <w:pPr>
        <w:ind w:left="880" w:hanging="508"/>
        <w:spacing w:after="0"/>
        <w:tabs>
          <w:tab w:leader="none" w:pos="8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cumulative voting in the election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0" w:name="page41"/>
    <w:bookmarkEnd w:id="40"/>
    <w:p>
      <w:pPr>
        <w:ind w:left="880" w:hanging="508"/>
        <w:spacing w:after="0" w:line="252" w:lineRule="auto"/>
        <w:tabs>
          <w:tab w:leader="none" w:pos="8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ind w:left="880" w:hanging="508"/>
        <w:spacing w:after="0"/>
        <w:tabs>
          <w:tab w:leader="none" w:pos="8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stockholder action by written consent;</w:t>
      </w:r>
    </w:p>
    <w:p>
      <w:pPr>
        <w:spacing w:after="0" w:line="13"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limiting the persons who may call special meetings of stockholders; and</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advance notification of stockholder nominations and proposals.</w:t>
      </w:r>
    </w:p>
    <w:p>
      <w:pPr>
        <w:spacing w:after="0" w:line="53"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may prohibit large stockholders, in particular those owning 15% or more of our outstanding voting stock, from merging or combining with us for a certain period of time without the consent of our board of directors. These and other provisions in our amended and restated certificate of incorporation and our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other employees.</w:t>
      </w:r>
    </w:p>
    <w:p>
      <w:pPr>
        <w:spacing w:after="0" w:line="5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General Corporation Law of the State of Delaware, our amended and restated certificate of incorporation or our amended and restated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While the Delaware Supreme Court determined that such choice of forum provisions are facially valid, a stockholder may nevertheless seek to bring such a claim arising under the Securities Act of 1933, as amended,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were subject to a securities class action litigation in connection with our initial public offering, are currently subject to a class litigation, and may be subject to other litigation in the future.</w:t>
      </w:r>
    </w:p>
    <w:p>
      <w:pPr>
        <w:spacing w:after="0" w:line="28"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The Company, its directors, and certain officers were named as defendants in a consolidated securities class action in connection with its initial public offering. On October 18, 2019, the Court dismissed the class action lawsuit with prejudice and the plaintiff released all claims against the Company and all other defendants relating to the allegations in the class action. In addition, in February 2021 the Company and Ooma Canada Inc. were named as defendants in a class action complaint in the Federal Court of Canada, alleging violations of Canada’s Trademarks Act and Competition Act. In the future, especially following periods of volatility in the market price of our shares, additional purported class action or derivative complaints may be filed against us. The outcome of any pending and potential future litigation is difficult to predict and quantify and the defense of such claims or actions can be costly. In addition to diverting financial and management resources and general business disruption, we may suffer from adverse publicity that could harm our brand or reputation, regardless of whether the allegations are valid or whether we are ultimately held liable. A judgment or settlement that is not covered by or is significantly in excess of our insurance coverage for any claims, or our obligations to indemnify the underwriters and the individual defendants, could materially and adversely affect our financial condition, results of operations and cash flows.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005581"/>
        </w:rPr>
        <w:t>General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Our future growth and success depends, in part, on our continued ability to hire and retain highly skilled personnel. We believe there is, and will continue to be, intense competition for highly skilled technical, sales and other personnel with experience in our industry in the San Francisco Bay Area, where our headquarters is located, and in other parts of the United States and Canada. We have from time to time experienced, and we expect to continue to experience, challenges in hiring and retaining skilled personnel with appropriate qualifications. We must provide competitive compensation packages and a high-quality work environment to hire, retain and motivate employees. If we and/or our partners are unable to hire, retain and motivate the existing workforce or attract qualified personnel to fill key positions, we may be unable to manage our business effectively, including the development, marketing and sale of existing and new services, which could have a material adverse effect on our business, financial condition, and results of operations. To the extent we hire personnel from competitors, we may be subject to allegations such personnel have been improperly solicited or divulged proprietary or other confidential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or political instability could disrupt and cause harm to our business, operating results, or financial condition.</w:t>
      </w:r>
    </w:p>
    <w:p>
      <w:pPr>
        <w:spacing w:after="0" w:line="102"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Our corporate headquarters, offices, warehouses and one of our data center facilities are located in Northern California, a region that frequently experiences earthquakes. We also maintain an office in Boca Raton, Florida, an area that has been prone to severe weather events, such as hurricanes. In addition, our third-party contract manufacturer facilities in China and our sole third-party customer service and support facility in the Philippines are located on the Pacific Rim near known earthquake fault zones that are vulnerable to damage from earthquakes, tsunamis, volcanic eruptions and/or typhoons. We and our contractors are also vulnerable to other types of disasters, such as power loss, fire, floods, pandemics, cyber-attack, war, political or civil unrest and terrorist attacks and similar events that are beyond our control. In particular, we depend on third-party contactors located in Russia for engineering and development services. We cannot assure you that our ability to continue transacting with third-party contractors in Russia would not be impacted by the effects of Russia’s invasion of Ukraine in February 2022 or any resulting international sanctions. If any disasters were to occur, our ability to operate our business could be seriously impaired, and we may endure system interruptions, reputational harm, loss of intellectual property, delays in our services development, lengthy interruptions in our services, breaches of data security and loss of critical data, all of which could harm our future results of operations. Such events may also reduce demand for our products and services because of reduced global or national economic activity and can cause disruptions and extreme volatility in global financial markets, increase rates of default and bankruptcy, and impact levels of business and consumer spending. In addition, we do not carry earthquake insurance and we may not have adequate insurance to cover our losses resulting from other disasters or other similar significant business interruptions. Any significant losses not recoverable under our insurance policies could seriously impair our business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have an impact on our business.</w:t>
      </w:r>
    </w:p>
    <w:p>
      <w:pPr>
        <w:spacing w:after="0" w:line="10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Any of our primary locations may be vulnerable to the adverse effects of climate change. For example, our offices and facilities in California have experienced, and are projected to continue to experience, climate-related events at an increasing frequency, including drought, heat waves, wildfires and power shutoffs associated with wildfire prevention. Furthermore, it may be more difficult to mitigate the impact of these events on some of our employees while they continue to work from home as a result of the COVID-19 pandemic.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higher churn, losses and additional costs to maintain or resume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corporate headquarters are located in Sunnyvale, California and consists of leased office space totaling approximately 33,400 square feet. We lease additional office and warehouse space in the San Francisco Bay Area for various product development, operational and customer support purposes. We also lease offices in Boca Raton, Florida and several other locations throughout the U.S. as well as Vancouver, British Columbia.</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lease space from third-party data centers under co-location agreements that support our cloud infrastructure, the most significant locations being San Jose, California; Dallas, Texas; Ashburn, Virginia; and other small locations internationally.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existing facilities are adequate to meet our current requirements. If we were to require additional space, we believe that we will be able to obtain such space on acceptable, commercially reasonable terms. See Note 7: Operating Leases of the accompanying notes of our consolidated financial statements for more information about our lease commitments.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discussion of legal proceedings, see Note 11: Commitments and Contingencies – Legal Proceedings in the notes to our consolidated financial statements included in Part II, Item 8, "Financial Statements and Supplementary Data" of this Form 10-K, which information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003A5D"/>
        </w:rPr>
        <w:t>PART II</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 xml:space="preserve">Market Information for Common Stock. </w:t>
      </w:r>
      <w:r>
        <w:rPr>
          <w:rFonts w:ascii="Arial" w:cs="Arial" w:eastAsia="Arial" w:hAnsi="Arial"/>
          <w:sz w:val="18"/>
          <w:szCs w:val="18"/>
          <w:color w:val="000000"/>
        </w:rPr>
        <w:t>Our common stock has been trading on the NYSE under the symbol “OOMA” since July 17, 2015.</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003A5D"/>
        </w:rPr>
        <w:t xml:space="preserve">Holders of Record. </w:t>
      </w:r>
      <w:r>
        <w:rPr>
          <w:rFonts w:ascii="Arial" w:cs="Arial" w:eastAsia="Arial" w:hAnsi="Arial"/>
          <w:sz w:val="18"/>
          <w:szCs w:val="18"/>
          <w:color w:val="000000"/>
        </w:rPr>
        <w:t>As of January 31, 2022, there were approximately 66 holders of record of our common stock. Because many of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shares of common stock are held by brokers and other institutions on behalf of stockholders, we are unable to estimate the total number of stockholders represented by these record holders.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003A5D"/>
        </w:rPr>
        <w:t xml:space="preserve">Dividend Policy. </w:t>
      </w:r>
      <w:r>
        <w:rPr>
          <w:rFonts w:ascii="Arial" w:cs="Arial" w:eastAsia="Arial" w:hAnsi="Arial"/>
          <w:sz w:val="18"/>
          <w:szCs w:val="18"/>
          <w:color w:val="000000"/>
        </w:rPr>
        <w:t>We have not declared or paid, and do not anticipate declaring or paying in the foreseeable future, any cash dividends on</w:t>
      </w:r>
      <w:r>
        <w:rPr>
          <w:rFonts w:ascii="Arial" w:cs="Arial" w:eastAsia="Arial" w:hAnsi="Arial"/>
          <w:sz w:val="18"/>
          <w:szCs w:val="18"/>
          <w:b w:val="1"/>
          <w:bCs w:val="1"/>
          <w:color w:val="003A5D"/>
        </w:rPr>
        <w:t xml:space="preserve"> </w:t>
      </w:r>
      <w:r>
        <w:rPr>
          <w:rFonts w:ascii="Arial" w:cs="Arial" w:eastAsia="Arial" w:hAnsi="Arial"/>
          <w:sz w:val="18"/>
          <w:szCs w:val="18"/>
          <w:color w:val="000000"/>
        </w:rPr>
        <w:t>our capital stock.</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Stock Price Performance Graph. </w:t>
      </w:r>
      <w:r>
        <w:rPr>
          <w:rFonts w:ascii="Arial" w:cs="Arial" w:eastAsia="Arial" w:hAnsi="Arial"/>
          <w:sz w:val="18"/>
          <w:szCs w:val="18"/>
          <w:color w:val="000000"/>
        </w:rPr>
        <w:t>The graph below compares the cumulative total return on our common stock with that of the NASDAQ</w:t>
      </w:r>
      <w:r>
        <w:rPr>
          <w:rFonts w:ascii="Arial" w:cs="Arial" w:eastAsia="Arial" w:hAnsi="Arial"/>
          <w:sz w:val="18"/>
          <w:szCs w:val="18"/>
          <w:b w:val="1"/>
          <w:bCs w:val="1"/>
          <w:color w:val="003A5D"/>
        </w:rPr>
        <w:t xml:space="preserve"> </w:t>
      </w:r>
      <w:r>
        <w:rPr>
          <w:rFonts w:ascii="Arial" w:cs="Arial" w:eastAsia="Arial" w:hAnsi="Arial"/>
          <w:sz w:val="18"/>
          <w:szCs w:val="18"/>
          <w:color w:val="000000"/>
        </w:rPr>
        <w:t>Telecommunications Index and the NYSE. The graph assumes $100 was invested at the close of market on the last trading day of fiscal 2017 in our common stock, the NASDAQ Telecommunications Index and the NYSE, and its relative performance is tracked through January 31, 2022, the last trading day of our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96520</wp:posOffset>
            </wp:positionV>
            <wp:extent cx="5417820" cy="4080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17820"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incorporated by reference into any filing of Ooma, Inc. under the Securities Act of 1933, as amended, or the Securities Act, except as shall be expressly set forth by specific reference in such filing. The stock price performance on this performance graph is not necessarily indicative of future stock price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 xml:space="preserve">Sales of Unregistered Securities. </w:t>
      </w:r>
      <w:r>
        <w:rPr>
          <w:rFonts w:ascii="Arial" w:cs="Arial" w:eastAsia="Arial" w:hAnsi="Arial"/>
          <w:sz w:val="18"/>
          <w:szCs w:val="18"/>
          <w:color w:val="000000"/>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 xml:space="preserve">Use of Proceeds. </w:t>
      </w:r>
      <w:r>
        <w:rPr>
          <w:rFonts w:ascii="Arial" w:cs="Arial" w:eastAsia="Arial" w:hAnsi="Arial"/>
          <w:sz w:val="18"/>
          <w:szCs w:val="18"/>
          <w:color w:val="000000"/>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3359"/>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the related notes to those statements included elsewhere in this Form 10-K. In addition to historical financial information, the following discussion contains forward-looking statements that involve risks, uncertainties and assumptions. Our actual results could differ materially from those anticipated in these forward-looking statements as a result of many factors, including those discussed under “Risk Factors” and elsewhere in this Form 10-K. The last day of our fiscal year is January 31, and we refer to our fiscal year ended January 31, 2022 as fiscal 2022, our fiscal year ended January 31, 2021 as fiscal 2021 and our fiscal year ended January 31, 2020 as fiscal 2020. All other references to years are references to calendar years.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section of this Form 10-K generally discusses fiscal 2022 and 2021 items and year-to-year comparisons between fiscal 2022 and 2021. Discussion regarding our financial condition and results of operations for fiscal 2021 as compared to 2020 is included in Item 7 of our Annual Report on Form 10-K for the year ended January 31, 2021, filed with the SEC on April 7, 2021.</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Executive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Ooma provides leading communications services and related technologies that bring unique features, ease of use, and affordability to businesses of all sizes and residential customers through our smart SaaS and unified communications platforms. For businesses, we deliver advanced voice and collaboration features including messaging, intelligent virtual attendants, and video conferencing to help them run more efficiently. For consumers, our residential phone service provides PureVoice high-definition voice quality, advanced functionality and integration with mobile devices.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generate subscription and services revenue by selling subscriptions and other services for our communications services, as well as other connected services. We generate our product and other revenue from the sale of our on-premise devices and end-point devices. We primarily offer our solutions in the U.S. and Canada.</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refer to Ooma Office and Ooma Enterprise collectively as Ooma Business. Ooma Residential includes Ooma Telo basic and premier services as well as our smart security solutions. See Item 1. Business above for additional information regarding our business, including products and services offered, competitive market and regulatory matters.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Fiscal 2022 Financial Performance</w:t>
      </w:r>
    </w:p>
    <w:p>
      <w:pPr>
        <w:spacing w:after="0" w:line="297" w:lineRule="exact"/>
        <w:rPr>
          <w:sz w:val="20"/>
          <w:szCs w:val="20"/>
          <w:color w:val="auto"/>
        </w:rPr>
      </w:pPr>
    </w:p>
    <w:p>
      <w:pPr>
        <w:ind w:left="880" w:hanging="508"/>
        <w:spacing w:after="0"/>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was $192.3 million, up 14% year-over-year, primarily driven by the continued growth of Ooma Business.</w:t>
      </w:r>
    </w:p>
    <w:p>
      <w:pPr>
        <w:spacing w:after="0" w:line="75"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Subscription and services revenue from Ooma Business and Ooma Residential grew 23% and 3% year-over-year, respectively.</w:t>
      </w:r>
    </w:p>
    <w:p>
      <w:pPr>
        <w:spacing w:after="0" w:line="75" w:lineRule="exact"/>
        <w:rPr>
          <w:rFonts w:ascii="Times New Roman" w:cs="Times New Roman" w:eastAsia="Times New Roman" w:hAnsi="Times New Roman"/>
          <w:sz w:val="18"/>
          <w:szCs w:val="18"/>
          <w:color w:val="auto"/>
        </w:rPr>
      </w:pPr>
    </w:p>
    <w:p>
      <w:pPr>
        <w:ind w:left="880" w:hanging="508"/>
        <w:spacing w:after="0" w:line="270" w:lineRule="auto"/>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Subscription and services gross margin was 72%, up from 71% in fiscal 2021. Total gross margin was 62%, consistent with fiscal 2021.</w:t>
      </w:r>
    </w:p>
    <w:p>
      <w:pPr>
        <w:spacing w:after="0" w:line="5" w:lineRule="exact"/>
        <w:rPr>
          <w:rFonts w:ascii="Times New Roman" w:cs="Times New Roman" w:eastAsia="Times New Roman" w:hAnsi="Times New Roman"/>
          <w:sz w:val="18"/>
          <w:szCs w:val="18"/>
          <w:color w:val="auto"/>
        </w:rPr>
      </w:pPr>
    </w:p>
    <w:p>
      <w:pPr>
        <w:ind w:left="880" w:hanging="508"/>
        <w:spacing w:after="0" w:line="270" w:lineRule="auto"/>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GAAP net loss was $1.8 million, improved from a net loss of $2.4 million in fiscal 2021, largely driven by our revenue growth and higher gross margins for subscription and services.</w:t>
      </w:r>
    </w:p>
    <w:p>
      <w:pPr>
        <w:spacing w:after="0" w:line="5"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Non-GAAP net income was $12.6 million, compared to $11.5 million in fiscal 2021.</w:t>
      </w:r>
    </w:p>
    <w:p>
      <w:pPr>
        <w:spacing w:after="0" w:line="75"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$15.6 million, compared to $14.0 million in fiscal 2021.</w:t>
      </w:r>
    </w:p>
    <w:p>
      <w:pPr>
        <w:spacing w:after="0" w:line="75" w:lineRule="exact"/>
        <w:rPr>
          <w:rFonts w:ascii="Times New Roman" w:cs="Times New Roman" w:eastAsia="Times New Roman" w:hAnsi="Times New Roman"/>
          <w:sz w:val="18"/>
          <w:szCs w:val="18"/>
          <w:color w:val="auto"/>
        </w:rPr>
      </w:pPr>
    </w:p>
    <w:p>
      <w:pPr>
        <w:ind w:left="880" w:right="20" w:hanging="508"/>
        <w:spacing w:after="0" w:line="270" w:lineRule="auto"/>
        <w:tabs>
          <w:tab w:leader="none" w:pos="8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As of January 31, 2022, we had total cash, cash equivalents and short-term investments of $31.3 million, up $3.0 million from $28.3 million as of January 31, 2021.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003A5D"/>
        </w:rPr>
        <w:t>COVID-19 Update</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fiscal 2022, we remained focused on executing our growth strategy while adapting to the evolving changes in our market environment and business activities driven by the COVID-19 pandemic. We have continued to evaluate and refine our return to work strategy, as well as our investments in our go-to-market, channel development and product development efforts. We and our third-party reseller partners have experienced, and expect to continue to experience, challenges in attracting and retaining sales employees and contractors, which we believe is largely attributable to the ongoing effects of the pandemic.</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severity and duration of the pandemic, including any resurgences, and the extent to which it may impact our operations remains uncertain. In recent periods, we have increased our inventory levels to mitigate global supply chain disruptions caused by component shortages and longer lead times. These increased levels may result in excess and/or obsolete inventory in future periods. In addition, although we saw improvement in our customer churn rate from the increased levels that we experienced earlier in the pandemic, our churn could again increase in future periods which may result in a decline to our core user growth rate. The overall effects of the COVID-19 pandemic may not be fully reflected in our results of operations and overall financial performance until future periods.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global macroeconomic effects of the COVID-19 pandemic and related impacts on our customers’ business operations and their demand for our products and services may persist for an indefinite period, even after the pandemic has subsided. See “Risk Factors” in Part I, Item 1A above for more information on risks associated with the COVID-19 pandemic.</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Key Factors Affecting Our Performance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historical financial performance and key business metrics have been, and we expect that our financial performance and key business metrics in the future will be, primarily driven by the following factors: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Core user growth. </w:t>
      </w:r>
      <w:r>
        <w:rPr>
          <w:rFonts w:ascii="Arial" w:cs="Arial" w:eastAsia="Arial" w:hAnsi="Arial"/>
          <w:sz w:val="18"/>
          <w:szCs w:val="18"/>
          <w:color w:val="auto"/>
        </w:rPr>
        <w:t>Our growth in the number of core users, a key business metric defined below, is a key indicator of our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penetration, the growth of our business and our anticipated future subscription and services revenue, especially Ooma Business.</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Low core user churn. </w:t>
      </w:r>
      <w:r>
        <w:rPr>
          <w:rFonts w:ascii="Arial" w:cs="Arial" w:eastAsia="Arial" w:hAnsi="Arial"/>
          <w:sz w:val="18"/>
          <w:szCs w:val="18"/>
          <w:color w:val="auto"/>
        </w:rPr>
        <w:t>We believe that maintaining our current low core user churn is an important factor in our ability to continue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financial performance and is a distinguishing advantage over many of our competitors. We focus on providing high-quality services and support to our users so they are motivated to remain with us. Our core user churn rate is higher for Ooma Business customers than Ooma Residential customers, which is driven in part by the failure rate of small businesses as well as the ongoing impact of the COVID-19 pandemic. Accordingly, we expect that our overall core user churn rate will increase to the extent that sales of our business products increase relative to sales of residential products.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Growth in additional services and products. </w:t>
      </w:r>
      <w:r>
        <w:rPr>
          <w:rFonts w:ascii="Arial" w:cs="Arial" w:eastAsia="Arial" w:hAnsi="Arial"/>
          <w:sz w:val="18"/>
          <w:szCs w:val="18"/>
          <w:color w:val="auto"/>
        </w:rPr>
        <w:t>We believe that there is significant opportunity for us to increase the additional subscription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that our customers purchase from us in both the business and residential markets, which generates more value to Ooma over the life of our customer relationship. In order to drive adoption of additional services, we will need to continue to enhance our existing solutions and develop new connected services and products. We are investing in Ooma Business to develop additional features to continue our momentum serving businesses of all sizes and further increase our average revenue per user. For example, we plan to launch a third Ooma Office tier of service during fiscal 2023 that will contain features that are even more advanced than Office Pro. Additionally, we see opportunity to capitalize on Ooma AirDial as an integrated solution for businesses to replace legacy copper-wire analog phone service. We also plan to evolve our Ooma Connect and Wi-Fi solutions as part of our longer-term strategy to provide a more complete solution for small and medium-sized businesses.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Investing in long-term revenue growth. </w:t>
      </w:r>
      <w:r>
        <w:rPr>
          <w:rFonts w:ascii="Arial" w:cs="Arial" w:eastAsia="Arial" w:hAnsi="Arial"/>
          <w:sz w:val="18"/>
          <w:szCs w:val="18"/>
          <w:color w:val="auto"/>
        </w:rPr>
        <w:t>We believe that our total addressable market opportunity is large and we intend to continue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investing in sales and marketing to grow our user base in multiple verticals and channels. We expect the domestic and international markets in which we conduct our business will remain highly competitive. We plan to work together with our strategic partners to explore and pursue potential growth opportunities related to the market transition to 5G internet. We expect to continue investing in research and development to enhance our platforms and develop additional connected services and products, as well as launch our Ooma Business services in a number of international countries. We may evaluate additional possible acquisitions of businesses, products and technologies that are complementary to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003A5D"/>
        </w:rPr>
        <w:t>Key Business Metrics</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review the key metrics below to evaluate our business, measure our performance, identify trends affecting our business, formulate financial projections and make strategic decisions.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key business metrics for each of the periods indicated (in thousands, except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40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r>
      <w:tr>
        <w:trPr>
          <w:trHeight w:val="210"/>
        </w:trPr>
        <w:tc>
          <w:tcPr>
            <w:tcW w:w="402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Core users</w:t>
            </w:r>
          </w:p>
        </w:tc>
        <w:tc>
          <w:tcPr>
            <w:tcW w:w="640" w:type="dxa"/>
            <w:vAlign w:val="bottom"/>
            <w:tcBorders>
              <w:top w:val="single" w:sz="8" w:color="D5E6F7"/>
            </w:tcBorders>
            <w:shd w:val="clear" w:color="auto" w:fill="D5E6F7"/>
          </w:tcPr>
          <w:p>
            <w:pPr>
              <w:spacing w:after="0"/>
              <w:rPr>
                <w:sz w:val="18"/>
                <w:szCs w:val="18"/>
                <w:color w:val="auto"/>
              </w:rPr>
            </w:pPr>
          </w:p>
        </w:tc>
        <w:tc>
          <w:tcPr>
            <w:tcW w:w="1160" w:type="dxa"/>
            <w:vAlign w:val="bottom"/>
            <w:tcBorders>
              <w:top w:val="single" w:sz="8" w:color="auto"/>
            </w:tcBorders>
            <w:shd w:val="clear" w:color="auto" w:fill="D5E6F7"/>
          </w:tcPr>
          <w:p>
            <w:pPr>
              <w:spacing w:after="0"/>
              <w:rPr>
                <w:sz w:val="18"/>
                <w:szCs w:val="18"/>
                <w:color w:val="auto"/>
              </w:rPr>
            </w:pPr>
          </w:p>
        </w:tc>
        <w:tc>
          <w:tcPr>
            <w:tcW w:w="7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1,100</w:t>
            </w:r>
          </w:p>
        </w:tc>
        <w:tc>
          <w:tcPr>
            <w:tcW w:w="380" w:type="dxa"/>
            <w:vAlign w:val="bottom"/>
            <w:tcBorders>
              <w:top w:val="single" w:sz="8" w:color="D5E6F7"/>
            </w:tcBorders>
            <w:shd w:val="clear" w:color="auto" w:fill="D5E6F7"/>
          </w:tcPr>
          <w:p>
            <w:pPr>
              <w:spacing w:after="0"/>
              <w:rPr>
                <w:sz w:val="18"/>
                <w:szCs w:val="18"/>
                <w:color w:val="auto"/>
              </w:rPr>
            </w:pPr>
          </w:p>
        </w:tc>
        <w:tc>
          <w:tcPr>
            <w:tcW w:w="220" w:type="dxa"/>
            <w:vAlign w:val="bottom"/>
            <w:tcBorders>
              <w:top w:val="single" w:sz="8" w:color="auto"/>
            </w:tcBorders>
            <w:shd w:val="clear" w:color="auto" w:fill="D5E6F7"/>
          </w:tcPr>
          <w:p>
            <w:pPr>
              <w:spacing w:after="0"/>
              <w:rPr>
                <w:sz w:val="18"/>
                <w:szCs w:val="18"/>
                <w:color w:val="auto"/>
              </w:rPr>
            </w:pPr>
          </w:p>
        </w:tc>
        <w:tc>
          <w:tcPr>
            <w:tcW w:w="16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1,074</w:t>
            </w:r>
          </w:p>
        </w:tc>
        <w:tc>
          <w:tcPr>
            <w:tcW w:w="260" w:type="dxa"/>
            <w:vAlign w:val="bottom"/>
            <w:tcBorders>
              <w:top w:val="single" w:sz="8" w:color="D5E6F7"/>
            </w:tcBorders>
            <w:shd w:val="clear" w:color="auto" w:fill="D5E6F7"/>
          </w:tcPr>
          <w:p>
            <w:pPr>
              <w:spacing w:after="0"/>
              <w:rPr>
                <w:sz w:val="18"/>
                <w:szCs w:val="18"/>
                <w:color w:val="auto"/>
              </w:rPr>
            </w:pPr>
          </w:p>
        </w:tc>
        <w:tc>
          <w:tcPr>
            <w:tcW w:w="120" w:type="dxa"/>
            <w:vAlign w:val="bottom"/>
            <w:tcBorders>
              <w:top w:val="single" w:sz="8" w:color="D5E6F7"/>
            </w:tcBorders>
            <w:shd w:val="clear" w:color="auto" w:fill="D5E6F7"/>
          </w:tcPr>
          <w:p>
            <w:pPr>
              <w:spacing w:after="0"/>
              <w:rPr>
                <w:sz w:val="18"/>
                <w:szCs w:val="18"/>
                <w:color w:val="auto"/>
              </w:rPr>
            </w:pPr>
          </w:p>
        </w:tc>
        <w:tc>
          <w:tcPr>
            <w:tcW w:w="440" w:type="dxa"/>
            <w:vAlign w:val="bottom"/>
            <w:tcBorders>
              <w:top w:val="single" w:sz="8" w:color="auto"/>
            </w:tcBorders>
            <w:shd w:val="clear" w:color="auto" w:fill="D5E6F7"/>
          </w:tcPr>
          <w:p>
            <w:pPr>
              <w:spacing w:after="0"/>
              <w:rPr>
                <w:sz w:val="18"/>
                <w:szCs w:val="18"/>
                <w:color w:val="auto"/>
              </w:rPr>
            </w:pPr>
          </w:p>
        </w:tc>
        <w:tc>
          <w:tcPr>
            <w:tcW w:w="14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Borders>
              <w:top w:val="single" w:sz="8" w:color="D5E6F7"/>
            </w:tcBorders>
            <w:shd w:val="clear" w:color="auto" w:fill="D5E6F7"/>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Annualized exit recurring revenue (AERR)</w:t>
            </w: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176,937</w:t>
            </w:r>
          </w:p>
        </w:tc>
        <w:tc>
          <w:tcPr>
            <w:tcW w:w="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160,528</w:t>
            </w:r>
          </w:p>
        </w:tc>
        <w:tc>
          <w:tcPr>
            <w:tcW w:w="2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143,190</w:t>
            </w:r>
          </w:p>
        </w:tc>
        <w:tc>
          <w:tcPr>
            <w:tcW w:w="180" w:type="dxa"/>
            <w:vAlign w:val="bottom"/>
          </w:tcPr>
          <w:p>
            <w:pPr>
              <w:spacing w:after="0"/>
              <w:rPr>
                <w:sz w:val="18"/>
                <w:szCs w:val="18"/>
                <w:color w:val="auto"/>
              </w:rPr>
            </w:pPr>
          </w:p>
        </w:tc>
      </w:tr>
      <w:tr>
        <w:trPr>
          <w:trHeight w:val="216"/>
        </w:trPr>
        <w:tc>
          <w:tcPr>
            <w:tcW w:w="4020" w:type="dxa"/>
            <w:vAlign w:val="bottom"/>
            <w:shd w:val="clear" w:color="auto" w:fill="D5E6F7"/>
          </w:tcPr>
          <w:p>
            <w:pPr>
              <w:spacing w:after="0"/>
              <w:rPr>
                <w:sz w:val="20"/>
                <w:szCs w:val="20"/>
                <w:color w:val="auto"/>
              </w:rPr>
            </w:pPr>
            <w:r>
              <w:rPr>
                <w:rFonts w:ascii="Arial" w:cs="Arial" w:eastAsia="Arial" w:hAnsi="Arial"/>
                <w:sz w:val="18"/>
                <w:szCs w:val="18"/>
                <w:color w:val="auto"/>
              </w:rPr>
              <w:t>Net dollar subscription retention rate</w:t>
            </w:r>
          </w:p>
        </w:tc>
        <w:tc>
          <w:tcPr>
            <w:tcW w:w="64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1100" w:type="dxa"/>
            <w:vAlign w:val="bottom"/>
            <w:gridSpan w:val="2"/>
            <w:shd w:val="clear" w:color="auto" w:fill="D5E6F7"/>
          </w:tcPr>
          <w:p>
            <w:pPr>
              <w:jc w:val="right"/>
              <w:ind w:right="22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D5E6F7"/>
          </w:tcPr>
          <w:p>
            <w:pPr>
              <w:spacing w:after="0"/>
              <w:rPr>
                <w:sz w:val="18"/>
                <w:szCs w:val="18"/>
                <w:color w:val="auto"/>
              </w:rPr>
            </w:pPr>
          </w:p>
        </w:tc>
        <w:tc>
          <w:tcPr>
            <w:tcW w:w="1920" w:type="dxa"/>
            <w:vAlign w:val="bottom"/>
            <w:gridSpan w:val="2"/>
            <w:shd w:val="clear" w:color="auto" w:fill="D5E6F7"/>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D5E6F7"/>
          </w:tcPr>
          <w:p>
            <w:pPr>
              <w:spacing w:after="0"/>
              <w:rPr>
                <w:sz w:val="18"/>
                <w:szCs w:val="18"/>
                <w:color w:val="auto"/>
              </w:rPr>
            </w:pPr>
          </w:p>
        </w:tc>
        <w:tc>
          <w:tcPr>
            <w:tcW w:w="440" w:type="dxa"/>
            <w:vAlign w:val="bottom"/>
            <w:shd w:val="clear" w:color="auto" w:fill="D5E6F7"/>
          </w:tcPr>
          <w:p>
            <w:pPr>
              <w:spacing w:after="0"/>
              <w:rPr>
                <w:sz w:val="18"/>
                <w:szCs w:val="18"/>
                <w:color w:val="auto"/>
              </w:rPr>
            </w:pPr>
          </w:p>
        </w:tc>
        <w:tc>
          <w:tcPr>
            <w:tcW w:w="162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100%</w:t>
            </w:r>
          </w:p>
        </w:tc>
      </w:t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Adjusted EBITDA</w:t>
            </w: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15,568</w:t>
            </w:r>
          </w:p>
        </w:tc>
        <w:tc>
          <w:tcPr>
            <w:tcW w:w="3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14,013</w:t>
            </w:r>
          </w:p>
        </w:tc>
        <w:tc>
          <w:tcPr>
            <w:tcW w:w="260" w:type="dxa"/>
            <w:vAlign w:val="bottom"/>
          </w:tcPr>
          <w:p>
            <w:pPr>
              <w:spacing w:after="0"/>
              <w:rPr>
                <w:sz w:val="20"/>
                <w:szCs w:val="20"/>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966</w:t>
            </w:r>
          </w:p>
        </w:tc>
        <w:tc>
          <w:tcPr>
            <w:tcW w:w="180" w:type="dxa"/>
            <w:vAlign w:val="bottom"/>
          </w:tcPr>
          <w:p>
            <w:pPr>
              <w:spacing w:after="0"/>
              <w:rPr>
                <w:sz w:val="20"/>
                <w:szCs w:val="20"/>
                <w:color w:val="auto"/>
              </w:rPr>
            </w:pPr>
          </w:p>
        </w:tc>
      </w:tr>
    </w:tbl>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003A5D"/>
        </w:rPr>
        <w:t xml:space="preserve">Core Users </w:t>
      </w:r>
      <w:r>
        <w:rPr>
          <w:rFonts w:ascii="Arial" w:cs="Arial" w:eastAsia="Arial" w:hAnsi="Arial"/>
          <w:sz w:val="18"/>
          <w:szCs w:val="18"/>
          <w:color w:val="000000"/>
        </w:rPr>
        <w:t>increased year-over-year, which was primarily driven by growth in business users. As of January 31, 2022, Ooma Business</w:t>
      </w:r>
      <w:r>
        <w:rPr>
          <w:rFonts w:ascii="Arial" w:cs="Arial" w:eastAsia="Arial" w:hAnsi="Arial"/>
          <w:sz w:val="18"/>
          <w:szCs w:val="18"/>
          <w:b w:val="1"/>
          <w:bCs w:val="1"/>
          <w:color w:val="003A5D"/>
        </w:rPr>
        <w:t xml:space="preserve"> </w:t>
      </w:r>
      <w:r>
        <w:rPr>
          <w:rFonts w:ascii="Arial" w:cs="Arial" w:eastAsia="Arial" w:hAnsi="Arial"/>
          <w:sz w:val="18"/>
          <w:szCs w:val="18"/>
          <w:color w:val="000000"/>
        </w:rPr>
        <w:t>users comprised approximately 28% of our total core users, up from 25% as of January 31, 2021. We believe that the number of our core users is an indicator of our market penetration, the growth of our business and our anticipated future subscription and services revenue. We define our core users as the number of active residential user accounts and office user extensions. We believe that the relationship that we establish with our core users positions us to sell additional premium communications services and other new connected services to them.</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003A5D"/>
        </w:rPr>
        <w:t xml:space="preserve">Annualized Exit Recurring Revenue </w:t>
      </w:r>
      <w:r>
        <w:rPr>
          <w:rFonts w:ascii="Arial" w:cs="Arial" w:eastAsia="Arial" w:hAnsi="Arial"/>
          <w:sz w:val="18"/>
          <w:szCs w:val="18"/>
          <w:color w:val="000000"/>
        </w:rPr>
        <w:t>grew year-over-year due to an increase in the average revenue per core user, which was largely</w:t>
      </w:r>
      <w:r>
        <w:rPr>
          <w:rFonts w:ascii="Arial" w:cs="Arial" w:eastAsia="Arial" w:hAnsi="Arial"/>
          <w:sz w:val="18"/>
          <w:szCs w:val="18"/>
          <w:b w:val="1"/>
          <w:bCs w:val="1"/>
          <w:color w:val="003A5D"/>
        </w:rPr>
        <w:t xml:space="preserve"> </w:t>
      </w:r>
      <w:r>
        <w:rPr>
          <w:rFonts w:ascii="Arial" w:cs="Arial" w:eastAsia="Arial" w:hAnsi="Arial"/>
          <w:sz w:val="18"/>
          <w:szCs w:val="18"/>
          <w:color w:val="000000"/>
        </w:rPr>
        <w:t>driven by an increase in business users. We believe that AERR is an indicator of recurring subscription and services revenue for near-term future periods. We estimate our AERR by dividing our recurring quarterly subscription revenue (excluding Talkatone revenue) by the average number of core users each quarter and annualize by multiplying by four. We then multiply that result by the number of core users at the end of the period to calculate AERR.</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003A5D"/>
        </w:rPr>
        <w:t xml:space="preserve">Net Dollar Subscription Retention Rate </w:t>
      </w:r>
      <w:r>
        <w:rPr>
          <w:rFonts w:ascii="Arial" w:cs="Arial" w:eastAsia="Arial" w:hAnsi="Arial"/>
          <w:sz w:val="18"/>
          <w:szCs w:val="18"/>
          <w:color w:val="000000"/>
        </w:rPr>
        <w:t>was comparable on a year-over-year basis. We believe that our net dollar subscription retention</w:t>
      </w:r>
      <w:r>
        <w:rPr>
          <w:rFonts w:ascii="Arial" w:cs="Arial" w:eastAsia="Arial" w:hAnsi="Arial"/>
          <w:sz w:val="18"/>
          <w:szCs w:val="18"/>
          <w:b w:val="1"/>
          <w:bCs w:val="1"/>
          <w:color w:val="003A5D"/>
        </w:rPr>
        <w:t xml:space="preserve"> </w:t>
      </w:r>
      <w:r>
        <w:rPr>
          <w:rFonts w:ascii="Arial" w:cs="Arial" w:eastAsia="Arial" w:hAnsi="Arial"/>
          <w:sz w:val="18"/>
          <w:szCs w:val="18"/>
          <w:color w:val="000000"/>
        </w:rPr>
        <w:t>rate provides insight into our ability to retain and grow our subscription and services revenue, and is an indicator of the long-term value of our customer relationships and the stability of our revenue base. It measures the percentage year-over-year change in our recurring subscription revenue per core user (excluding Talkatone revenue), which is then adjusted by factoring in the percentage of our core users we have retained during the same period. Our net dollar subscription retention rate is affected by changes in average amounts that our core users pay to us, fluctuations in the number of our core users, and our core user churn rate.</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calculate our estimated net dollar subscription retention rate for our core users by multiplying:</w:t>
      </w:r>
    </w:p>
    <w:p>
      <w:pPr>
        <w:spacing w:after="0" w:line="27" w:lineRule="exact"/>
        <w:rPr>
          <w:sz w:val="20"/>
          <w:szCs w:val="20"/>
          <w:color w:val="auto"/>
        </w:rPr>
      </w:pPr>
    </w:p>
    <w:p>
      <w:pPr>
        <w:ind w:left="880" w:hanging="50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year-over-year percentage change in annual recurring revenue per core user, which is calculated by:</w:t>
      </w:r>
    </w:p>
    <w:p>
      <w:pPr>
        <w:spacing w:after="0" w:line="9" w:lineRule="exact"/>
        <w:rPr>
          <w:rFonts w:ascii="Arial" w:cs="Arial" w:eastAsia="Arial" w:hAnsi="Arial"/>
          <w:sz w:val="18"/>
          <w:szCs w:val="18"/>
          <w:color w:val="auto"/>
        </w:rPr>
      </w:pPr>
    </w:p>
    <w:p>
      <w:pPr>
        <w:ind w:left="1000" w:hanging="493"/>
        <w:spacing w:after="0" w:line="242" w:lineRule="auto"/>
        <w:tabs>
          <w:tab w:leader="none" w:pos="100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determining the annual recurring revenue per core user by dividing annual recurring revenue for the period ended by the number of core users at the end of that particular period; and</w:t>
      </w:r>
    </w:p>
    <w:p>
      <w:pPr>
        <w:ind w:left="1000" w:hanging="493"/>
        <w:spacing w:after="0" w:line="242" w:lineRule="auto"/>
        <w:tabs>
          <w:tab w:leader="none" w:pos="100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calculating the year-over-year percentage change in annual recurring revenue per core user by dividing the current period recurring revenue per core user by the annual recurring revenue per core user for the same period in the prior year.</w:t>
      </w:r>
    </w:p>
    <w:p>
      <w:pPr>
        <w:ind w:left="3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880" w:hanging="50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core user annual retention rate, which is calculated by:</w:t>
      </w:r>
    </w:p>
    <w:p>
      <w:pPr>
        <w:spacing w:after="0" w:line="9" w:lineRule="exact"/>
        <w:rPr>
          <w:sz w:val="20"/>
          <w:szCs w:val="20"/>
          <w:color w:val="auto"/>
        </w:rPr>
      </w:pPr>
    </w:p>
    <w:p>
      <w:pPr>
        <w:jc w:val="both"/>
        <w:ind w:left="1000" w:hanging="493"/>
        <w:spacing w:after="0" w:line="239"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determining our core user churn, by identifying the number of paying core users who terminate service during a month, excluding infant churn, which we define as office extensions and home users who terminate service prior to the end of the second full calendar month after their activation date;</w:t>
      </w:r>
    </w:p>
    <w:p>
      <w:pPr>
        <w:spacing w:after="0" w:line="1" w:lineRule="exact"/>
        <w:rPr>
          <w:rFonts w:ascii="Times New Roman" w:cs="Times New Roman" w:eastAsia="Times New Roman" w:hAnsi="Times New Roman"/>
          <w:sz w:val="18"/>
          <w:szCs w:val="18"/>
          <w:color w:val="auto"/>
        </w:rPr>
      </w:pPr>
    </w:p>
    <w:p>
      <w:pPr>
        <w:ind w:left="1000" w:right="20" w:hanging="493"/>
        <w:spacing w:after="0" w:line="242" w:lineRule="auto"/>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calculating our monthly churn rate by dividing our churn in a month by the number of core users at the beginning of that month; and</w:t>
      </w: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calculating our annual retention rate as one minus the sum of our monthly churn rates for the preceding 12-month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3A5D"/>
        </w:rPr>
        <w:t>Adjusted EBITDA</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 use Adjusted EBITDA (Earnings Before Interest, Tax and Depreciation and Amortization) to manage our business, evaluate our performance and make planning decisions. We consider this metric to be a useful measure of our operating performance, because it contains adjustments for unusual events or factors that do not directly affect what management considers being the core operating performance, and are used by our management for that purpose. We also believe this measure enables us to better evaluate our performance by facilitating a meaningful comparison of our core operating results in a given period to those in prior and future periods. Investors often use similar measures to evaluate the operating performance with competitors. Adjusted EBITDA represents net income before interest and other income, income tax provision or benefit, depreciation and amortization of capital expenditures, amortization of acquired intangible assets and other acquisition-related charges, stock-based compensation and related taxes, restructuring charges and certain litigation costs that are not representative of the ordinary course of our business.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ind w:left="880" w:right="20" w:hanging="508"/>
        <w:spacing w:after="0" w:line="265"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consider any expenses for assets being depreciated and amortized that are necessary to our business;</w:t>
      </w:r>
    </w:p>
    <w:p>
      <w:pPr>
        <w:spacing w:after="0" w:line="1" w:lineRule="exact"/>
        <w:rPr>
          <w:rFonts w:ascii="Times New Roman" w:cs="Times New Roman" w:eastAsia="Times New Roman" w:hAnsi="Times New Roman"/>
          <w:sz w:val="18"/>
          <w:szCs w:val="18"/>
          <w:color w:val="auto"/>
        </w:rPr>
      </w:pPr>
    </w:p>
    <w:p>
      <w:pPr>
        <w:jc w:val="both"/>
        <w:ind w:left="880" w:right="20" w:hanging="508"/>
        <w:spacing w:after="0" w:line="252"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consider the impact of income tax provisions or benefits, other income/expense, stock-based compensation and related taxes, amortization of acquired intangible assets and other acquisition-related charges, restructuring charges and certain litigation costs that are not recurring in nature; and</w:t>
      </w:r>
    </w:p>
    <w:p>
      <w:pPr>
        <w:spacing w:after="0" w:line="8" w:lineRule="exact"/>
        <w:rPr>
          <w:rFonts w:ascii="Times New Roman" w:cs="Times New Roman" w:eastAsia="Times New Roman" w:hAnsi="Times New Roman"/>
          <w:sz w:val="18"/>
          <w:szCs w:val="18"/>
          <w:color w:val="auto"/>
        </w:rPr>
      </w:pPr>
    </w:p>
    <w:p>
      <w:pPr>
        <w:ind w:left="880" w:hanging="508"/>
        <w:spacing w:after="0" w:line="270" w:lineRule="auto"/>
        <w:tabs>
          <w:tab w:leader="none" w:pos="8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net loss and our other GAAP results.</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provides a reconciliation of net loss (the most directly comparable GAAP financial measure) to Adjusted EBITDA for each of the periods indicated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ind w:right="187"/>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6420" w:type="dxa"/>
            <w:vAlign w:val="bottom"/>
            <w:tcBorders>
              <w:bottom w:val="single" w:sz="8" w:color="D5E6F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D5E6F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9"/>
                <w:szCs w:val="19"/>
                <w:color w:val="auto"/>
              </w:rPr>
            </w:pPr>
          </w:p>
        </w:tc>
        <w:tc>
          <w:tcPr>
            <w:tcW w:w="20" w:type="dxa"/>
            <w:vAlign w:val="bottom"/>
            <w:tcBorders>
              <w:bottom w:val="single" w:sz="8" w:color="D5E6F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9"/>
                <w:szCs w:val="19"/>
                <w:color w:val="auto"/>
              </w:rPr>
            </w:pPr>
          </w:p>
        </w:tc>
      </w:tr>
      <w:tr>
        <w:trPr>
          <w:trHeight w:val="210"/>
        </w:trPr>
        <w:tc>
          <w:tcPr>
            <w:tcW w:w="6420" w:type="dxa"/>
            <w:vAlign w:val="bottom"/>
            <w:shd w:val="clear" w:color="auto" w:fill="D5E6F7"/>
          </w:tcPr>
          <w:p>
            <w:pPr>
              <w:spacing w:after="0"/>
              <w:rPr>
                <w:sz w:val="20"/>
                <w:szCs w:val="20"/>
                <w:color w:val="auto"/>
              </w:rPr>
            </w:pPr>
            <w:r>
              <w:rPr>
                <w:rFonts w:ascii="Arial" w:cs="Arial" w:eastAsia="Arial" w:hAnsi="Arial"/>
                <w:sz w:val="16"/>
                <w:szCs w:val="16"/>
                <w:b w:val="1"/>
                <w:bCs w:val="1"/>
                <w:color w:val="auto"/>
              </w:rPr>
              <w:t>GAAP net loss</w:t>
            </w:r>
          </w:p>
        </w:tc>
        <w:tc>
          <w:tcPr>
            <w:tcW w:w="32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(1,751)</w:t>
            </w:r>
          </w:p>
        </w:tc>
        <w:tc>
          <w:tcPr>
            <w:tcW w:w="280" w:type="dxa"/>
            <w:vAlign w:val="bottom"/>
            <w:shd w:val="clear" w:color="auto" w:fill="D5E6F7"/>
          </w:tcPr>
          <w:p>
            <w:pPr>
              <w:spacing w:after="0"/>
              <w:rPr>
                <w:sz w:val="18"/>
                <w:szCs w:val="18"/>
                <w:color w:val="auto"/>
              </w:rPr>
            </w:pPr>
          </w:p>
        </w:tc>
        <w:tc>
          <w:tcPr>
            <w:tcW w:w="32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shd w:val="clear" w:color="auto" w:fill="D5E6F7"/>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Reconciling items: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Interest and other income, net</w:t>
            </w:r>
          </w:p>
        </w:tc>
        <w:tc>
          <w:tcPr>
            <w:tcW w:w="320" w:type="dxa"/>
            <w:vAlign w:val="bottom"/>
            <w:shd w:val="clear" w:color="auto" w:fill="D5E6F7"/>
          </w:tcPr>
          <w:p>
            <w:pPr>
              <w:spacing w:after="0"/>
              <w:rPr>
                <w:sz w:val="18"/>
                <w:szCs w:val="18"/>
                <w:color w:val="auto"/>
              </w:rPr>
            </w:pPr>
          </w:p>
        </w:tc>
        <w:tc>
          <w:tcPr>
            <w:tcW w:w="1360" w:type="dxa"/>
            <w:vAlign w:val="bottom"/>
            <w:gridSpan w:val="2"/>
            <w:shd w:val="clear" w:color="auto" w:fill="D5E6F7"/>
          </w:tcPr>
          <w:p>
            <w:pPr>
              <w:jc w:val="right"/>
              <w:ind w:right="220"/>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D5E6F7"/>
          </w:tcPr>
          <w:p>
            <w:pPr>
              <w:spacing w:after="0"/>
              <w:rPr>
                <w:sz w:val="18"/>
                <w:szCs w:val="18"/>
                <w:color w:val="auto"/>
              </w:rPr>
            </w:pPr>
          </w:p>
        </w:tc>
        <w:tc>
          <w:tcPr>
            <w:tcW w:w="1320" w:type="dxa"/>
            <w:vAlign w:val="bottom"/>
            <w:gridSpan w:val="2"/>
            <w:shd w:val="clear" w:color="auto" w:fill="D5E6F7"/>
          </w:tcPr>
          <w:p>
            <w:pPr>
              <w:jc w:val="right"/>
              <w:ind w:right="180"/>
              <w:spacing w:after="0"/>
              <w:rPr>
                <w:sz w:val="20"/>
                <w:szCs w:val="20"/>
                <w:color w:val="auto"/>
              </w:rPr>
            </w:pPr>
            <w:r>
              <w:rPr>
                <w:rFonts w:ascii="Arial" w:cs="Arial" w:eastAsia="Arial" w:hAnsi="Arial"/>
                <w:sz w:val="18"/>
                <w:szCs w:val="18"/>
                <w:color w:val="auto"/>
              </w:rPr>
              <w:t>(419)</w:t>
            </w: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8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(780)</w:t>
            </w:r>
          </w:p>
        </w:tc>
      </w:tr>
      <w:tr>
        <w:trPr>
          <w:trHeight w:val="216"/>
        </w:trPr>
        <w:tc>
          <w:tcPr>
            <w:tcW w:w="6420" w:type="dxa"/>
            <w:vAlign w:val="bottom"/>
          </w:tcPr>
          <w:p>
            <w:pPr>
              <w:ind w:left="140"/>
              <w:spacing w:after="0"/>
              <w:rPr>
                <w:sz w:val="20"/>
                <w:szCs w:val="20"/>
                <w:color w:val="auto"/>
              </w:rPr>
            </w:pPr>
            <w:r>
              <w:rPr>
                <w:rFonts w:ascii="Arial" w:cs="Arial" w:eastAsia="Arial" w:hAnsi="Arial"/>
                <w:sz w:val="16"/>
                <w:szCs w:val="16"/>
                <w:color w:val="auto"/>
              </w:rPr>
              <w:t>Income tax provision (benefit)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64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Depreciation and amortization of capital expenditures</w:t>
            </w:r>
          </w:p>
        </w:tc>
        <w:tc>
          <w:tcPr>
            <w:tcW w:w="32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3,117</w:t>
            </w:r>
          </w:p>
        </w:tc>
        <w:tc>
          <w:tcPr>
            <w:tcW w:w="2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2,877</w:t>
            </w:r>
          </w:p>
        </w:tc>
        <w:tc>
          <w:tcPr>
            <w:tcW w:w="24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D5E6F7"/>
          </w:tcPr>
          <w:p>
            <w:pPr>
              <w:spacing w:after="0"/>
              <w:rPr>
                <w:sz w:val="18"/>
                <w:szCs w:val="18"/>
                <w:color w:val="auto"/>
              </w:rPr>
            </w:pPr>
          </w:p>
        </w:tc>
      </w:tr>
      <w:tr>
        <w:trPr>
          <w:trHeight w:val="216"/>
        </w:trPr>
        <w:tc>
          <w:tcPr>
            <w:tcW w:w="6420" w:type="dxa"/>
            <w:vAlign w:val="bottom"/>
          </w:tcPr>
          <w:p>
            <w:pPr>
              <w:ind w:left="140"/>
              <w:spacing w:after="0"/>
              <w:rPr>
                <w:sz w:val="20"/>
                <w:szCs w:val="20"/>
                <w:color w:val="auto"/>
              </w:rPr>
            </w:pPr>
            <w:r>
              <w:rPr>
                <w:rFonts w:ascii="Arial" w:cs="Arial" w:eastAsia="Arial" w:hAnsi="Arial"/>
                <w:sz w:val="16"/>
                <w:szCs w:val="16"/>
                <w:color w:val="auto"/>
              </w:rPr>
              <w:t>Amortization of acquired intangible assets and acquisition-related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r>
      <w:tr>
        <w:trPr>
          <w:trHeight w:val="216"/>
        </w:trPr>
        <w:tc>
          <w:tcPr>
            <w:tcW w:w="64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Stock-based compensation and related taxes</w:t>
            </w:r>
          </w:p>
        </w:tc>
        <w:tc>
          <w:tcPr>
            <w:tcW w:w="32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13,077</w:t>
            </w:r>
          </w:p>
        </w:tc>
        <w:tc>
          <w:tcPr>
            <w:tcW w:w="2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12,607</w:t>
            </w:r>
          </w:p>
        </w:tc>
        <w:tc>
          <w:tcPr>
            <w:tcW w:w="24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13,149</w:t>
            </w:r>
          </w:p>
        </w:tc>
        <w:tc>
          <w:tcPr>
            <w:tcW w:w="100" w:type="dxa"/>
            <w:vAlign w:val="bottom"/>
            <w:shd w:val="clear" w:color="auto" w:fill="D5E6F7"/>
          </w:tcPr>
          <w:p>
            <w:pPr>
              <w:spacing w:after="0"/>
              <w:rPr>
                <w:sz w:val="18"/>
                <w:szCs w:val="18"/>
                <w:color w:val="auto"/>
              </w:rPr>
            </w:pPr>
          </w:p>
        </w:tc>
      </w:tr>
      <w:tr>
        <w:trPr>
          <w:trHeight w:val="216"/>
        </w:trPr>
        <w:tc>
          <w:tcPr>
            <w:tcW w:w="642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8"/>
                <w:szCs w:val="18"/>
                <w:color w:val="auto"/>
              </w:rPr>
            </w:pPr>
          </w:p>
        </w:tc>
      </w:tr>
      <w:tr>
        <w:trPr>
          <w:trHeight w:val="216"/>
        </w:trPr>
        <w:tc>
          <w:tcPr>
            <w:tcW w:w="64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Litigation costs</w:t>
            </w:r>
          </w:p>
        </w:tc>
        <w:tc>
          <w:tcPr>
            <w:tcW w:w="320" w:type="dxa"/>
            <w:vAlign w:val="bottom"/>
            <w:shd w:val="clear" w:color="auto" w:fill="D5E6F7"/>
          </w:tcPr>
          <w:p>
            <w:pPr>
              <w:spacing w:after="0"/>
              <w:rPr>
                <w:sz w:val="18"/>
                <w:szCs w:val="18"/>
                <w:color w:val="auto"/>
              </w:rPr>
            </w:pPr>
          </w:p>
        </w:tc>
        <w:tc>
          <w:tcPr>
            <w:tcW w:w="1360" w:type="dxa"/>
            <w:vAlign w:val="bottom"/>
            <w:gridSpan w:val="2"/>
            <w:shd w:val="clear" w:color="auto" w:fill="D5E6F7"/>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D5E6F7"/>
          </w:tcPr>
          <w:p>
            <w:pPr>
              <w:spacing w:after="0"/>
              <w:rPr>
                <w:sz w:val="18"/>
                <w:szCs w:val="18"/>
                <w:color w:val="auto"/>
              </w:rPr>
            </w:pPr>
          </w:p>
        </w:tc>
        <w:tc>
          <w:tcPr>
            <w:tcW w:w="1320" w:type="dxa"/>
            <w:vAlign w:val="bottom"/>
            <w:gridSpan w:val="2"/>
            <w:shd w:val="clear" w:color="auto" w:fill="D5E6F7"/>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D5E6F7"/>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Arial" w:cs="Arial" w:eastAsia="Arial" w:hAnsi="Arial"/>
          <w:sz w:val="28"/>
          <w:szCs w:val="28"/>
          <w:b w:val="1"/>
          <w:bCs w:val="1"/>
          <w:color w:val="003A5D"/>
        </w:rPr>
        <w:t>Components of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Revenue</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Subscription and services revenue </w:t>
      </w:r>
      <w:r>
        <w:rPr>
          <w:rFonts w:ascii="Arial" w:cs="Arial" w:eastAsia="Arial" w:hAnsi="Arial"/>
          <w:sz w:val="18"/>
          <w:szCs w:val="18"/>
          <w:color w:val="auto"/>
        </w:rPr>
        <w:t>is derived primarily from recurring subscription fees related to service plans such as Ooma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Ooma Residential and other communications services, and to a lesser extent from payments associated with our Talkatone mobile application and prepaid international calls. We expect our subscription and services revenue to grow as we expand our core user base, driven primarily by growth in Ooma Business.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Product and other revenue </w:t>
      </w:r>
      <w:r>
        <w:rPr>
          <w:rFonts w:ascii="Arial" w:cs="Arial" w:eastAsia="Arial" w:hAnsi="Arial"/>
          <w:sz w:val="18"/>
          <w:szCs w:val="18"/>
          <w:color w:val="auto"/>
        </w:rPr>
        <w:t>consists primarily of sales of our on-premise devices and end-point devices used in connection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including shipping and handling fees for our direct customers.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Cost of revenue and gross margin</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Cost of subscription and services revenue </w:t>
      </w:r>
      <w:r>
        <w:rPr>
          <w:rFonts w:ascii="Arial" w:cs="Arial" w:eastAsia="Arial" w:hAnsi="Arial"/>
          <w:sz w:val="18"/>
          <w:szCs w:val="18"/>
          <w:color w:val="auto"/>
        </w:rPr>
        <w:t>includes payments made for third-party network operations and telecommunications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telecom taxes and fees, including Federal USF contributions; credit card processing fees; costs to build out and maintain data centers; depreciation and maintenance of servers and equipment; personnel costs associated with customer care and network operations support and allocated overhead costs.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Cost of product and other revenue </w:t>
      </w:r>
      <w:r>
        <w:rPr>
          <w:rFonts w:ascii="Arial" w:cs="Arial" w:eastAsia="Arial" w:hAnsi="Arial"/>
          <w:sz w:val="18"/>
          <w:szCs w:val="18"/>
          <w:color w:val="auto"/>
        </w:rPr>
        <w:t>includes the costs associated with the manufacturing of our on-premise devices and end-point devices,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personnel costs for employees and contractors, costs related to porting our customers’ phone numbers to our service, shipping and handling costs, tariffs imposed on imported product and allocated overhead costs.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Subscription and services </w:t>
      </w:r>
      <w:r>
        <w:rPr>
          <w:rFonts w:ascii="Arial" w:cs="Arial" w:eastAsia="Arial" w:hAnsi="Arial"/>
          <w:sz w:val="18"/>
          <w:szCs w:val="18"/>
          <w:color w:val="auto"/>
        </w:rPr>
        <w:t>gross margin may fluctuate from period-to-period based on the interplay of a number of factors,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mix and fluctuations in the costs described above. We expect our subscription and services gross margin to increase over the long-term, primarily as we achieve scale efficiencies and as Ooma Business revenue becomes a larger portion of total subscription revenue.</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Product and other gross margin </w:t>
      </w:r>
      <w:r>
        <w:rPr>
          <w:rFonts w:ascii="Arial" w:cs="Arial" w:eastAsia="Arial" w:hAnsi="Arial"/>
          <w:sz w:val="18"/>
          <w:szCs w:val="18"/>
          <w:color w:val="auto"/>
        </w:rPr>
        <w:t>may fluctuate from period-to-period based on a number of factors, including total units shipped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direct costs of production and relatively fixed personnel costs incurred. We sell our on-premise devices at aggressive price points to facilitate the adoption of our platforms and services. We expect our product and other gross margin to continue to be negative for the foreseeable future.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subscription and services gross margin is significantly higher than product and other gross margin. As a result, any significant change in revenue mix will cause our total gross margin to change. For example, in periods where we sell significantly more on-premise devices, we would expect our total gross margin to be impacted.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Operating expenses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Sales and marketing expenses </w:t>
      </w:r>
      <w:r>
        <w:rPr>
          <w:rFonts w:ascii="Arial" w:cs="Arial" w:eastAsia="Arial" w:hAnsi="Arial"/>
          <w:sz w:val="18"/>
          <w:szCs w:val="18"/>
          <w:color w:val="auto"/>
        </w:rPr>
        <w:t>consist primarily of personnel costs for employees and contractors, advertising and marketing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sales commissions paid to internal sales personnel and third parties, amortization of acquired intangible assets, travel expenses and allocated overhead costs. We expect our sales and marketing expenses to increase in absolute dollars as we continue to grow our business.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are focused on developing new and expanded features for our services and improvements to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platforms and backend architecture. Research and development expenses consist primarily of personnel costs for employees and contractors, as well as license and product certification fees and allocated overhead costs. We expect our research and development expenses to increase in absolute dollars.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consist of personnel costs for our finance, legal, human resources and other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contractors, as well as professional service fees and allocated overhead costs. We expect our general and administrative expenses to increase in absolute dollars.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9"/>
          <w:szCs w:val="29"/>
          <w:b w:val="1"/>
          <w:bCs w:val="1"/>
          <w:color w:val="003A5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tables in this section set forth selected consolidated statements of operations data for each of the periods indicated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440" w:type="dxa"/>
            <w:vAlign w:val="bottom"/>
            <w:tcBorders>
              <w:bottom w:val="single" w:sz="8" w:color="D5E6F7"/>
            </w:tcBorders>
          </w:tcPr>
          <w:p>
            <w:pPr>
              <w:spacing w:after="0"/>
              <w:rPr>
                <w:sz w:val="14"/>
                <w:szCs w:val="14"/>
                <w:color w:val="auto"/>
              </w:rPr>
            </w:pPr>
          </w:p>
        </w:tc>
        <w:tc>
          <w:tcPr>
            <w:tcW w:w="1920" w:type="dxa"/>
            <w:vAlign w:val="bottom"/>
            <w:tcBorders>
              <w:bottom w:val="single" w:sz="8" w:color="D5E6F7"/>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5E6F7"/>
            </w:tcBorders>
          </w:tcPr>
          <w:p>
            <w:pPr>
              <w:spacing w:after="0"/>
              <w:rPr>
                <w:sz w:val="14"/>
                <w:szCs w:val="14"/>
                <w:color w:val="auto"/>
              </w:rPr>
            </w:pPr>
          </w:p>
        </w:tc>
        <w:tc>
          <w:tcPr>
            <w:tcW w:w="180" w:type="dxa"/>
            <w:vAlign w:val="bottom"/>
            <w:tcBorders>
              <w:bottom w:val="single" w:sz="8" w:color="D5E6F7"/>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4"/>
                <w:szCs w:val="14"/>
                <w:color w:val="auto"/>
              </w:rPr>
            </w:pPr>
          </w:p>
        </w:tc>
      </w:tr>
      <w:tr>
        <w:trPr>
          <w:trHeight w:val="209"/>
        </w:trPr>
        <w:tc>
          <w:tcPr>
            <w:tcW w:w="444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Revenue:</w:t>
            </w:r>
          </w:p>
        </w:tc>
        <w:tc>
          <w:tcPr>
            <w:tcW w:w="19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Subscription and services</w:t>
            </w:r>
          </w:p>
        </w:tc>
        <w:tc>
          <w:tcPr>
            <w:tcW w:w="2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175,942</w:t>
            </w:r>
          </w:p>
        </w:tc>
        <w:tc>
          <w:tcPr>
            <w:tcW w:w="240" w:type="dxa"/>
            <w:vAlign w:val="bottom"/>
          </w:tcPr>
          <w:p>
            <w:pPr>
              <w:spacing w:after="0"/>
              <w:rPr>
                <w:sz w:val="18"/>
                <w:szCs w:val="18"/>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156,873</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139,499</w:t>
            </w:r>
          </w:p>
        </w:tc>
        <w:tc>
          <w:tcPr>
            <w:tcW w:w="100" w:type="dxa"/>
            <w:vAlign w:val="bottom"/>
          </w:tcPr>
          <w:p>
            <w:pPr>
              <w:spacing w:after="0"/>
              <w:rPr>
                <w:sz w:val="18"/>
                <w:szCs w:val="18"/>
                <w:color w:val="auto"/>
              </w:rPr>
            </w:pPr>
          </w:p>
        </w:tc>
      </w:tr>
      <w:tr>
        <w:trPr>
          <w:trHeight w:val="216"/>
        </w:trPr>
        <w:tc>
          <w:tcPr>
            <w:tcW w:w="44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Product and other</w:t>
            </w:r>
          </w:p>
        </w:tc>
        <w:tc>
          <w:tcPr>
            <w:tcW w:w="192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16,348</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0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12,074</w:t>
            </w:r>
          </w:p>
        </w:tc>
        <w:tc>
          <w:tcPr>
            <w:tcW w:w="24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0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12,094</w:t>
            </w:r>
          </w:p>
        </w:tc>
        <w:tc>
          <w:tcPr>
            <w:tcW w:w="100" w:type="dxa"/>
            <w:vAlign w:val="bottom"/>
            <w:shd w:val="clear" w:color="auto" w:fill="D5E6F7"/>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192,290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168,947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151,593</w:t>
            </w:r>
          </w:p>
        </w:tc>
        <w:tc>
          <w:tcPr>
            <w:tcW w:w="100" w:type="dxa"/>
            <w:vAlign w:val="bottom"/>
          </w:tcPr>
          <w:p>
            <w:pPr>
              <w:spacing w:after="0"/>
              <w:rPr>
                <w:sz w:val="18"/>
                <w:szCs w:val="18"/>
                <w:color w:val="auto"/>
              </w:rPr>
            </w:pPr>
          </w:p>
        </w:tc>
      </w:tr>
      <w:tr>
        <w:trPr>
          <w:trHeight w:val="216"/>
        </w:trPr>
        <w:tc>
          <w:tcPr>
            <w:tcW w:w="4440" w:type="dxa"/>
            <w:vAlign w:val="bottom"/>
            <w:shd w:val="clear" w:color="auto" w:fill="D5E6F7"/>
          </w:tcPr>
          <w:p>
            <w:pPr>
              <w:spacing w:after="0"/>
              <w:rPr>
                <w:sz w:val="18"/>
                <w:szCs w:val="18"/>
                <w:color w:val="auto"/>
              </w:rPr>
            </w:pPr>
          </w:p>
        </w:tc>
        <w:tc>
          <w:tcPr>
            <w:tcW w:w="19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Subscription and services</w:t>
            </w:r>
          </w:p>
        </w:tc>
        <w:tc>
          <w:tcPr>
            <w:tcW w:w="19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49,563</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46,134</w:t>
            </w: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43,748</w:t>
            </w:r>
          </w:p>
        </w:tc>
        <w:tc>
          <w:tcPr>
            <w:tcW w:w="100" w:type="dxa"/>
            <w:vAlign w:val="bottom"/>
            <w:shd w:val="clear" w:color="auto" w:fill="D5E6F7"/>
          </w:tcPr>
          <w:p>
            <w:pPr>
              <w:spacing w:after="0"/>
              <w:rPr>
                <w:sz w:val="18"/>
                <w:szCs w:val="18"/>
                <w:color w:val="auto"/>
              </w:rPr>
            </w:pPr>
          </w:p>
        </w:tc>
      </w:tr>
      <w:tr>
        <w:trPr>
          <w:trHeight w:val="216"/>
        </w:trPr>
        <w:tc>
          <w:tcPr>
            <w:tcW w:w="444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Product and other</w:t>
            </w:r>
          </w:p>
        </w:tc>
        <w:tc>
          <w:tcPr>
            <w:tcW w:w="192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24,289</w:t>
            </w:r>
          </w:p>
        </w:tc>
        <w:tc>
          <w:tcPr>
            <w:tcW w:w="240" w:type="dxa"/>
            <w:vAlign w:val="bottom"/>
            <w:tcBorders>
              <w:bottom w:val="single" w:sz="8" w:color="D5E6F7"/>
            </w:tcBorders>
          </w:tcPr>
          <w:p>
            <w:pPr>
              <w:spacing w:after="0"/>
              <w:rPr>
                <w:sz w:val="18"/>
                <w:szCs w:val="18"/>
                <w:color w:val="auto"/>
              </w:rPr>
            </w:pPr>
          </w:p>
        </w:tc>
        <w:tc>
          <w:tcPr>
            <w:tcW w:w="18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18,009</w:t>
            </w:r>
          </w:p>
        </w:tc>
        <w:tc>
          <w:tcPr>
            <w:tcW w:w="24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100" w:type="dxa"/>
            <w:vAlign w:val="bottom"/>
            <w:tcBorders>
              <w:bottom w:val="single" w:sz="8" w:color="D5E6F7"/>
            </w:tcBorders>
          </w:tcPr>
          <w:p>
            <w:pPr>
              <w:spacing w:after="0"/>
              <w:rPr>
                <w:sz w:val="18"/>
                <w:szCs w:val="18"/>
                <w:color w:val="auto"/>
              </w:rPr>
            </w:pPr>
          </w:p>
        </w:tc>
      </w:tr>
      <w:tr>
        <w:trPr>
          <w:trHeight w:val="210"/>
        </w:trPr>
        <w:tc>
          <w:tcPr>
            <w:tcW w:w="444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Total cost of revenue</w:t>
            </w:r>
          </w:p>
        </w:tc>
        <w:tc>
          <w:tcPr>
            <w:tcW w:w="192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73,852</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0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64,143</w:t>
            </w:r>
          </w:p>
        </w:tc>
        <w:tc>
          <w:tcPr>
            <w:tcW w:w="24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0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62,212</w:t>
            </w:r>
          </w:p>
        </w:tc>
        <w:tc>
          <w:tcPr>
            <w:tcW w:w="100" w:type="dxa"/>
            <w:vAlign w:val="bottom"/>
            <w:shd w:val="clear" w:color="auto" w:fill="D5E6F7"/>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89,381</w:t>
            </w:r>
          </w:p>
        </w:tc>
        <w:tc>
          <w:tcPr>
            <w:tcW w:w="100" w:type="dxa"/>
            <w:vAlign w:val="bottom"/>
          </w:tcPr>
          <w:p>
            <w:pPr>
              <w:spacing w:after="0"/>
              <w:rPr>
                <w:sz w:val="18"/>
                <w:szCs w:val="18"/>
                <w:color w:val="auto"/>
              </w:rPr>
            </w:pPr>
          </w:p>
        </w:tc>
      </w:tr>
      <w:tr>
        <w:trPr>
          <w:trHeight w:val="216"/>
        </w:trPr>
        <w:tc>
          <w:tcPr>
            <w:tcW w:w="4440" w:type="dxa"/>
            <w:vAlign w:val="bottom"/>
            <w:shd w:val="clear" w:color="auto" w:fill="D5E6F7"/>
          </w:tcPr>
          <w:p>
            <w:pPr>
              <w:spacing w:after="0"/>
              <w:rPr>
                <w:sz w:val="18"/>
                <w:szCs w:val="18"/>
                <w:color w:val="auto"/>
              </w:rPr>
            </w:pPr>
          </w:p>
        </w:tc>
        <w:tc>
          <w:tcPr>
            <w:tcW w:w="19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Sales and marketing</w:t>
            </w:r>
          </w:p>
        </w:tc>
        <w:tc>
          <w:tcPr>
            <w:tcW w:w="19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58,631</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50,919</w:t>
            </w: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50,497</w:t>
            </w:r>
          </w:p>
        </w:tc>
        <w:tc>
          <w:tcPr>
            <w:tcW w:w="100" w:type="dxa"/>
            <w:vAlign w:val="bottom"/>
            <w:shd w:val="clear" w:color="auto" w:fill="D5E6F7"/>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37,770</w:t>
            </w:r>
          </w:p>
        </w:tc>
        <w:tc>
          <w:tcPr>
            <w:tcW w:w="100" w:type="dxa"/>
            <w:vAlign w:val="bottom"/>
          </w:tcPr>
          <w:p>
            <w:pPr>
              <w:spacing w:after="0"/>
              <w:rPr>
                <w:sz w:val="18"/>
                <w:szCs w:val="18"/>
                <w:color w:val="auto"/>
              </w:rPr>
            </w:pPr>
          </w:p>
        </w:tc>
      </w:tr>
      <w:tr>
        <w:trPr>
          <w:trHeight w:val="216"/>
        </w:trPr>
        <w:tc>
          <w:tcPr>
            <w:tcW w:w="44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23,544</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0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20,581</w:t>
            </w:r>
          </w:p>
        </w:tc>
        <w:tc>
          <w:tcPr>
            <w:tcW w:w="24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0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20,825</w:t>
            </w:r>
          </w:p>
        </w:tc>
        <w:tc>
          <w:tcPr>
            <w:tcW w:w="100" w:type="dxa"/>
            <w:vAlign w:val="bottom"/>
            <w:shd w:val="clear" w:color="auto" w:fill="D5E6F7"/>
          </w:tcPr>
          <w:p>
            <w:pPr>
              <w:spacing w:after="0"/>
              <w:rPr>
                <w:sz w:val="18"/>
                <w:szCs w:val="18"/>
                <w:color w:val="auto"/>
              </w:rPr>
            </w:pPr>
          </w:p>
        </w:tc>
      </w:tr>
      <w:tr>
        <w:trPr>
          <w:trHeight w:val="209"/>
        </w:trPr>
        <w:tc>
          <w:tcPr>
            <w:tcW w:w="4440" w:type="dxa"/>
            <w:vAlign w:val="bottom"/>
            <w:tcBorders>
              <w:bottom w:val="single" w:sz="8" w:color="D5E6F7"/>
            </w:tcBorders>
          </w:tcPr>
          <w:p>
            <w:pPr>
              <w:ind w:left="260"/>
              <w:spacing w:after="0"/>
              <w:rPr>
                <w:sz w:val="20"/>
                <w:szCs w:val="20"/>
                <w:color w:val="auto"/>
              </w:rPr>
            </w:pPr>
            <w:r>
              <w:rPr>
                <w:rFonts w:ascii="Arial" w:cs="Arial" w:eastAsia="Arial" w:hAnsi="Arial"/>
                <w:sz w:val="18"/>
                <w:szCs w:val="18"/>
                <w:b w:val="1"/>
                <w:bCs w:val="1"/>
                <w:color w:val="auto"/>
              </w:rPr>
              <w:t>Total operating expenses</w:t>
            </w:r>
          </w:p>
        </w:tc>
        <w:tc>
          <w:tcPr>
            <w:tcW w:w="192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120,368</w:t>
            </w:r>
          </w:p>
        </w:tc>
        <w:tc>
          <w:tcPr>
            <w:tcW w:w="240" w:type="dxa"/>
            <w:vAlign w:val="bottom"/>
            <w:tcBorders>
              <w:bottom w:val="single" w:sz="8" w:color="D5E6F7"/>
            </w:tcBorders>
          </w:tcPr>
          <w:p>
            <w:pPr>
              <w:spacing w:after="0"/>
              <w:rPr>
                <w:sz w:val="18"/>
                <w:szCs w:val="18"/>
                <w:color w:val="auto"/>
              </w:rPr>
            </w:pPr>
          </w:p>
        </w:tc>
        <w:tc>
          <w:tcPr>
            <w:tcW w:w="18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107,579</w:t>
            </w:r>
          </w:p>
        </w:tc>
        <w:tc>
          <w:tcPr>
            <w:tcW w:w="24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109,092</w:t>
            </w:r>
          </w:p>
        </w:tc>
        <w:tc>
          <w:tcPr>
            <w:tcW w:w="100" w:type="dxa"/>
            <w:vAlign w:val="bottom"/>
            <w:tcBorders>
              <w:bottom w:val="single" w:sz="8" w:color="D5E6F7"/>
            </w:tcBorders>
          </w:tcPr>
          <w:p>
            <w:pPr>
              <w:spacing w:after="0"/>
              <w:rPr>
                <w:sz w:val="18"/>
                <w:szCs w:val="18"/>
                <w:color w:val="auto"/>
              </w:rPr>
            </w:pPr>
          </w:p>
        </w:tc>
      </w:tr>
      <w:tr>
        <w:trPr>
          <w:trHeight w:val="210"/>
        </w:trPr>
        <w:tc>
          <w:tcPr>
            <w:tcW w:w="444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Loss from operations</w:t>
            </w:r>
          </w:p>
        </w:tc>
        <w:tc>
          <w:tcPr>
            <w:tcW w:w="19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(1,930)</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(2,775)</w:t>
            </w: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(19,711)</w:t>
            </w:r>
          </w:p>
        </w:tc>
        <w:tc>
          <w:tcPr>
            <w:tcW w:w="100" w:type="dxa"/>
            <w:vAlign w:val="bottom"/>
            <w:shd w:val="clear" w:color="auto" w:fill="D5E6F7"/>
          </w:tcPr>
          <w:p>
            <w:pPr>
              <w:spacing w:after="0"/>
              <w:rPr>
                <w:sz w:val="18"/>
                <w:szCs w:val="18"/>
                <w:color w:val="auto"/>
              </w:rPr>
            </w:pPr>
          </w:p>
        </w:tc>
      </w:tr>
      <w:tr>
        <w:trPr>
          <w:trHeight w:val="216"/>
        </w:trPr>
        <w:tc>
          <w:tcPr>
            <w:tcW w:w="444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Interest and other income, net</w:t>
            </w:r>
          </w:p>
        </w:tc>
        <w:tc>
          <w:tcPr>
            <w:tcW w:w="192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D5E6F7"/>
            </w:tcBorders>
          </w:tcPr>
          <w:p>
            <w:pPr>
              <w:spacing w:after="0"/>
              <w:rPr>
                <w:sz w:val="18"/>
                <w:szCs w:val="18"/>
                <w:color w:val="auto"/>
              </w:rPr>
            </w:pPr>
          </w:p>
        </w:tc>
        <w:tc>
          <w:tcPr>
            <w:tcW w:w="18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D5E6F7"/>
            </w:tcBorders>
          </w:tcPr>
          <w:p>
            <w:pPr>
              <w:spacing w:after="0"/>
              <w:rPr>
                <w:sz w:val="18"/>
                <w:szCs w:val="18"/>
                <w:color w:val="auto"/>
              </w:rPr>
            </w:pPr>
          </w:p>
        </w:tc>
      </w:tr>
      <w:tr>
        <w:trPr>
          <w:trHeight w:val="209"/>
        </w:trPr>
        <w:tc>
          <w:tcPr>
            <w:tcW w:w="444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Loss before income taxes</w:t>
            </w:r>
          </w:p>
        </w:tc>
        <w:tc>
          <w:tcPr>
            <w:tcW w:w="19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(2,356)</w:t>
            </w: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shd w:val="clear" w:color="auto" w:fill="D5E6F7"/>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Income tax (provision) benefit</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r>
      <w:tr>
        <w:trPr>
          <w:trHeight w:val="209"/>
        </w:trPr>
        <w:tc>
          <w:tcPr>
            <w:tcW w:w="4440" w:type="dxa"/>
            <w:vAlign w:val="bottom"/>
            <w:tcBorders>
              <w:top w:val="single" w:sz="8" w:color="D5E6F7"/>
              <w:bottom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Net loss</w:t>
            </w:r>
          </w:p>
        </w:tc>
        <w:tc>
          <w:tcPr>
            <w:tcW w:w="1920" w:type="dxa"/>
            <w:vAlign w:val="bottom"/>
            <w:tcBorders>
              <w:top w:val="single" w:sz="8" w:color="D5E6F7"/>
              <w:bottom w:val="single" w:sz="8" w:color="D5E6F7"/>
            </w:tcBorders>
            <w:shd w:val="clear" w:color="auto" w:fill="D5E6F7"/>
          </w:tcPr>
          <w:p>
            <w:pPr>
              <w:spacing w:after="0"/>
              <w:rPr>
                <w:sz w:val="18"/>
                <w:szCs w:val="18"/>
                <w:color w:val="auto"/>
              </w:rPr>
            </w:pPr>
          </w:p>
        </w:tc>
        <w:tc>
          <w:tcPr>
            <w:tcW w:w="320" w:type="dxa"/>
            <w:vAlign w:val="bottom"/>
            <w:tcBorders>
              <w:top w:val="single" w:sz="8" w:color="auto"/>
              <w:bottom w:val="single" w:sz="8" w:color="auto"/>
            </w:tcBorders>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(1,751)</w:t>
            </w:r>
          </w:p>
        </w:tc>
        <w:tc>
          <w:tcPr>
            <w:tcW w:w="240" w:type="dxa"/>
            <w:vAlign w:val="bottom"/>
            <w:tcBorders>
              <w:top w:val="single" w:sz="8" w:color="D5E6F7"/>
              <w:bottom w:val="single" w:sz="8" w:color="D5E6F7"/>
            </w:tcBorders>
            <w:shd w:val="clear" w:color="auto" w:fill="D5E6F7"/>
          </w:tcPr>
          <w:p>
            <w:pPr>
              <w:spacing w:after="0"/>
              <w:rPr>
                <w:sz w:val="18"/>
                <w:szCs w:val="18"/>
                <w:color w:val="auto"/>
              </w:rPr>
            </w:pPr>
          </w:p>
        </w:tc>
        <w:tc>
          <w:tcPr>
            <w:tcW w:w="180" w:type="dxa"/>
            <w:vAlign w:val="bottom"/>
            <w:tcBorders>
              <w:top w:val="single" w:sz="8" w:color="D5E6F7"/>
              <w:bottom w:val="single" w:sz="8" w:color="D5E6F7"/>
            </w:tcBorders>
            <w:shd w:val="clear" w:color="auto" w:fill="D5E6F7"/>
          </w:tcPr>
          <w:p>
            <w:pPr>
              <w:spacing w:after="0"/>
              <w:rPr>
                <w:sz w:val="18"/>
                <w:szCs w:val="18"/>
                <w:color w:val="auto"/>
              </w:rPr>
            </w:pPr>
          </w:p>
        </w:tc>
        <w:tc>
          <w:tcPr>
            <w:tcW w:w="320" w:type="dxa"/>
            <w:vAlign w:val="bottom"/>
            <w:tcBorders>
              <w:top w:val="single" w:sz="8" w:color="auto"/>
              <w:bottom w:val="single" w:sz="8" w:color="auto"/>
            </w:tcBorders>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(2,441)</w:t>
            </w:r>
          </w:p>
        </w:tc>
        <w:tc>
          <w:tcPr>
            <w:tcW w:w="240" w:type="dxa"/>
            <w:vAlign w:val="bottom"/>
            <w:tcBorders>
              <w:top w:val="single" w:sz="8" w:color="D5E6F7"/>
              <w:bottom w:val="single" w:sz="8" w:color="D5E6F7"/>
            </w:tcBorders>
            <w:shd w:val="clear" w:color="auto" w:fill="D5E6F7"/>
          </w:tcPr>
          <w:p>
            <w:pPr>
              <w:spacing w:after="0"/>
              <w:rPr>
                <w:sz w:val="18"/>
                <w:szCs w:val="18"/>
                <w:color w:val="auto"/>
              </w:rPr>
            </w:pPr>
          </w:p>
        </w:tc>
        <w:tc>
          <w:tcPr>
            <w:tcW w:w="300" w:type="dxa"/>
            <w:vAlign w:val="bottom"/>
            <w:tcBorders>
              <w:top w:val="single" w:sz="8" w:color="auto"/>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 included stock-based compensation expense and related payroll taxes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January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2"/>
        </w:trPr>
        <w:tc>
          <w:tcPr>
            <w:tcW w:w="6860" w:type="dxa"/>
            <w:vAlign w:val="bottom"/>
            <w:tcBorders>
              <w:bottom w:val="single" w:sz="8" w:color="D5E6F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5E6F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5E6F7"/>
            </w:tcBorders>
          </w:tcPr>
          <w:p>
            <w:pPr>
              <w:spacing w:after="0"/>
              <w:rPr>
                <w:sz w:val="19"/>
                <w:szCs w:val="19"/>
                <w:color w:val="auto"/>
              </w:rPr>
            </w:pPr>
          </w:p>
        </w:tc>
      </w:tr>
      <w:tr>
        <w:trPr>
          <w:trHeight w:val="224"/>
        </w:trPr>
        <w:tc>
          <w:tcPr>
            <w:tcW w:w="6860" w:type="dxa"/>
            <w:vAlign w:val="bottom"/>
            <w:shd w:val="clear" w:color="auto" w:fill="D5E6F7"/>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1,026</w:t>
            </w:r>
          </w:p>
        </w:tc>
        <w:tc>
          <w:tcPr>
            <w:tcW w:w="52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1,054</w:t>
            </w:r>
          </w:p>
        </w:tc>
        <w:tc>
          <w:tcPr>
            <w:tcW w:w="640" w:type="dxa"/>
            <w:vAlign w:val="bottom"/>
            <w:gridSpan w:val="2"/>
            <w:shd w:val="clear" w:color="auto" w:fill="D5E6F7"/>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D5E6F7"/>
          </w:tcPr>
          <w:p>
            <w:pPr>
              <w:spacing w:after="0"/>
              <w:rPr>
                <w:sz w:val="19"/>
                <w:szCs w:val="19"/>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r>
      <w:tr>
        <w:trPr>
          <w:trHeight w:val="216"/>
        </w:trPr>
        <w:tc>
          <w:tcPr>
            <w:tcW w:w="6860" w:type="dxa"/>
            <w:vAlign w:val="bottom"/>
            <w:shd w:val="clear" w:color="auto" w:fill="D5E6F7"/>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4,373</w:t>
            </w:r>
          </w:p>
        </w:tc>
        <w:tc>
          <w:tcPr>
            <w:tcW w:w="2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4,387</w:t>
            </w:r>
          </w:p>
        </w:tc>
        <w:tc>
          <w:tcPr>
            <w:tcW w:w="24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D5E6F7"/>
          </w:tcPr>
          <w:p>
            <w:pPr>
              <w:spacing w:after="0"/>
              <w:rPr>
                <w:sz w:val="18"/>
                <w:szCs w:val="18"/>
                <w:color w:val="auto"/>
              </w:rPr>
            </w:pPr>
          </w:p>
        </w:tc>
      </w:tr>
      <w:tr>
        <w:trPr>
          <w:trHeight w:val="216"/>
        </w:trPr>
        <w:tc>
          <w:tcPr>
            <w:tcW w:w="686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26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240" w:type="dxa"/>
            <w:vAlign w:val="bottom"/>
            <w:tcBorders>
              <w:bottom w:val="single" w:sz="8" w:color="D5E6F7"/>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D5E6F7"/>
            </w:tcBorders>
          </w:tcPr>
          <w:p>
            <w:pPr>
              <w:spacing w:after="0"/>
              <w:rPr>
                <w:sz w:val="18"/>
                <w:szCs w:val="18"/>
                <w:color w:val="auto"/>
              </w:rPr>
            </w:pPr>
          </w:p>
        </w:tc>
      </w:tr>
      <w:tr>
        <w:trPr>
          <w:trHeight w:val="210"/>
        </w:trPr>
        <w:tc>
          <w:tcPr>
            <w:tcW w:w="686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13,077</w:t>
            </w:r>
          </w:p>
        </w:tc>
        <w:tc>
          <w:tcPr>
            <w:tcW w:w="26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12,607</w:t>
            </w:r>
          </w:p>
        </w:tc>
        <w:tc>
          <w:tcPr>
            <w:tcW w:w="240" w:type="dxa"/>
            <w:vAlign w:val="bottom"/>
            <w:tcBorders>
              <w:bottom w:val="single" w:sz="8" w:color="D5E6F7"/>
            </w:tcBorders>
            <w:shd w:val="clear" w:color="auto" w:fill="D5E6F7"/>
          </w:tcPr>
          <w:p>
            <w:pPr>
              <w:spacing w:after="0"/>
              <w:rPr>
                <w:sz w:val="18"/>
                <w:szCs w:val="18"/>
                <w:color w:val="auto"/>
              </w:rPr>
            </w:pPr>
          </w:p>
        </w:tc>
        <w:tc>
          <w:tcPr>
            <w:tcW w:w="400" w:type="dxa"/>
            <w:vAlign w:val="bottom"/>
            <w:tcBorders>
              <w:bottom w:val="single" w:sz="8" w:color="auto"/>
            </w:tcBorders>
            <w:shd w:val="clear" w:color="auto" w:fill="D5E6F7"/>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Borders>
              <w:bottom w:val="single" w:sz="8" w:color="D5E6F7"/>
            </w:tcBorders>
            <w:shd w:val="clear" w:color="auto" w:fill="D5E6F7"/>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003A5D"/>
        </w:rPr>
        <w:t>Revenue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Fiscal Year Ended January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362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 vs. 2021</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D5E6F7"/>
            </w:tcBorders>
          </w:tcPr>
          <w:p>
            <w:pPr>
              <w:spacing w:after="0"/>
              <w:rPr>
                <w:sz w:val="18"/>
                <w:szCs w:val="18"/>
                <w:color w:val="auto"/>
              </w:rPr>
            </w:pPr>
          </w:p>
        </w:tc>
      </w:tr>
      <w:tr>
        <w:trPr>
          <w:trHeight w:val="210"/>
        </w:trPr>
        <w:tc>
          <w:tcPr>
            <w:tcW w:w="362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r>
      <w:tr>
        <w:trPr>
          <w:trHeight w:val="216"/>
        </w:trPr>
        <w:tc>
          <w:tcPr>
            <w:tcW w:w="3620" w:type="dxa"/>
            <w:vAlign w:val="bottom"/>
          </w:tcPr>
          <w:p>
            <w:pPr>
              <w:ind w:left="260"/>
              <w:spacing w:after="0"/>
              <w:rPr>
                <w:sz w:val="20"/>
                <w:szCs w:val="20"/>
                <w:color w:val="auto"/>
              </w:rPr>
            </w:pPr>
            <w:r>
              <w:rPr>
                <w:rFonts w:ascii="Arial" w:cs="Arial" w:eastAsia="Arial" w:hAnsi="Arial"/>
                <w:sz w:val="18"/>
                <w:szCs w:val="18"/>
                <w:color w:val="auto"/>
              </w:rPr>
              <w:t>Subscription and services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175,942</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156,873</w:t>
            </w:r>
          </w:p>
        </w:tc>
        <w:tc>
          <w:tcPr>
            <w:tcW w:w="3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139,499</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19,069</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620" w:type="dxa"/>
            <w:vAlign w:val="bottom"/>
            <w:shd w:val="clear" w:color="auto" w:fill="D5E6F7"/>
          </w:tcPr>
          <w:p>
            <w:pPr>
              <w:ind w:left="260"/>
              <w:spacing w:after="0"/>
              <w:rPr>
                <w:sz w:val="20"/>
                <w:szCs w:val="20"/>
                <w:color w:val="auto"/>
              </w:rPr>
            </w:pPr>
            <w:r>
              <w:rPr>
                <w:rFonts w:ascii="Arial" w:cs="Arial" w:eastAsia="Arial" w:hAnsi="Arial"/>
                <w:sz w:val="18"/>
                <w:szCs w:val="18"/>
                <w:color w:val="auto"/>
              </w:rPr>
              <w:t>Product and other</w:t>
            </w:r>
          </w:p>
        </w:tc>
        <w:tc>
          <w:tcPr>
            <w:tcW w:w="34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16,348</w:t>
            </w:r>
          </w:p>
        </w:tc>
        <w:tc>
          <w:tcPr>
            <w:tcW w:w="320" w:type="dxa"/>
            <w:vAlign w:val="bottom"/>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12,074</w:t>
            </w:r>
          </w:p>
        </w:tc>
        <w:tc>
          <w:tcPr>
            <w:tcW w:w="320" w:type="dxa"/>
            <w:vAlign w:val="bottom"/>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12,094</w:t>
            </w:r>
          </w:p>
        </w:tc>
        <w:tc>
          <w:tcPr>
            <w:tcW w:w="340" w:type="dxa"/>
            <w:vAlign w:val="bottom"/>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4,274</w:t>
            </w:r>
          </w:p>
        </w:tc>
        <w:tc>
          <w:tcPr>
            <w:tcW w:w="40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35%</w:t>
            </w:r>
          </w:p>
        </w:tc>
      </w:tr>
      <w:tr>
        <w:trPr>
          <w:trHeight w:val="209"/>
        </w:trPr>
        <w:tc>
          <w:tcPr>
            <w:tcW w:w="3620" w:type="dxa"/>
            <w:vAlign w:val="bottom"/>
          </w:tcPr>
          <w:p>
            <w:pPr>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192,290</w:t>
            </w:r>
          </w:p>
        </w:tc>
        <w:tc>
          <w:tcPr>
            <w:tcW w:w="3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168,947</w:t>
            </w:r>
          </w:p>
        </w:tc>
        <w:tc>
          <w:tcPr>
            <w:tcW w:w="32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151,593</w:t>
            </w:r>
          </w:p>
        </w:tc>
        <w:tc>
          <w:tcPr>
            <w:tcW w:w="3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23,343</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3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3620" w:type="dxa"/>
            <w:vAlign w:val="bottom"/>
          </w:tcPr>
          <w:p>
            <w:pPr>
              <w:spacing w:after="0"/>
              <w:rPr>
                <w:sz w:val="20"/>
                <w:szCs w:val="20"/>
                <w:color w:val="auto"/>
              </w:rPr>
            </w:pPr>
            <w:r>
              <w:rPr>
                <w:rFonts w:ascii="Arial" w:cs="Arial" w:eastAsia="Arial" w:hAnsi="Arial"/>
                <w:sz w:val="18"/>
                <w:szCs w:val="18"/>
                <w:b w:val="1"/>
                <w:bCs w:val="1"/>
                <w:color w:val="auto"/>
              </w:rPr>
              <w:t>Percentage of revenue:</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20" w:type="dxa"/>
            <w:vAlign w:val="bottom"/>
          </w:tcPr>
          <w:p>
            <w:pPr>
              <w:ind w:left="260"/>
              <w:spacing w:after="0"/>
              <w:rPr>
                <w:sz w:val="20"/>
                <w:szCs w:val="20"/>
                <w:color w:val="auto"/>
              </w:rPr>
            </w:pPr>
            <w:r>
              <w:rPr>
                <w:rFonts w:ascii="Arial" w:cs="Arial" w:eastAsia="Arial" w:hAnsi="Arial"/>
                <w:sz w:val="18"/>
                <w:szCs w:val="18"/>
                <w:color w:val="auto"/>
              </w:rPr>
              <w:t>Subscription and services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4060" w:type="dxa"/>
            <w:vAlign w:val="bottom"/>
            <w:gridSpan w:val="2"/>
          </w:tcPr>
          <w:p>
            <w:pPr>
              <w:jc w:val="right"/>
              <w:ind w:right="24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620" w:type="dxa"/>
            <w:vAlign w:val="bottom"/>
            <w:shd w:val="clear" w:color="auto" w:fill="D5E6F7"/>
          </w:tcPr>
          <w:p>
            <w:pPr>
              <w:ind w:left="260"/>
              <w:spacing w:after="0"/>
              <w:rPr>
                <w:sz w:val="20"/>
                <w:szCs w:val="20"/>
                <w:color w:val="auto"/>
              </w:rPr>
            </w:pPr>
            <w:r>
              <w:rPr>
                <w:rFonts w:ascii="Arial" w:cs="Arial" w:eastAsia="Arial" w:hAnsi="Arial"/>
                <w:sz w:val="18"/>
                <w:szCs w:val="18"/>
                <w:color w:val="auto"/>
              </w:rPr>
              <w:t>Product and other</w:t>
            </w:r>
          </w:p>
        </w:tc>
        <w:tc>
          <w:tcPr>
            <w:tcW w:w="178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7%</w:t>
            </w:r>
          </w:p>
        </w:tc>
        <w:tc>
          <w:tcPr>
            <w:tcW w:w="4060" w:type="dxa"/>
            <w:vAlign w:val="bottom"/>
            <w:gridSpan w:val="2"/>
            <w:shd w:val="clear" w:color="auto" w:fill="D5E6F7"/>
          </w:tcPr>
          <w:p>
            <w:pPr>
              <w:jc w:val="right"/>
              <w:ind w:right="24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060" w:type="dxa"/>
            <w:vAlign w:val="bottom"/>
            <w:gridSpan w:val="2"/>
          </w:tcPr>
          <w:p>
            <w:pPr>
              <w:jc w:val="right"/>
              <w:ind w:right="24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derived approximately 49% and 44% of our total revenue from Ooma Business and approximately 49% and 54% from Ooma Residential in fiscal 2022 and 2021, respectively.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Subscription and services revenue increased $19.1 million or 12% year-over-year, primarily attributable to an increase in our core users and an increase in the average revenue per user, driven by the growth in sales of Ooma Business and a higher mix of sales of our Office Pro tier service. Subscription and services revenue from Ooma Business and Ooma Residential grew 23% and 3% year-over-year, respectively.</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Product and other revenue increased $4.3 million or 35% year-over-year due to an increase in shipments of Ooma Business products, primarily driven by sales of our fixed wireless products to a strategic customer.</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Fiscal Year Ended January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920" w:type="dxa"/>
            <w:vAlign w:val="bottom"/>
            <w:tcBorders>
              <w:bottom w:val="single" w:sz="8" w:color="D5E6F7"/>
            </w:tcBorders>
          </w:tcPr>
          <w:p>
            <w:pPr>
              <w:spacing w:after="0"/>
              <w:rPr>
                <w:sz w:val="18"/>
                <w:szCs w:val="18"/>
                <w:color w:val="auto"/>
              </w:rPr>
            </w:pPr>
          </w:p>
        </w:tc>
        <w:tc>
          <w:tcPr>
            <w:tcW w:w="62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D5E6F7"/>
            </w:tcBorders>
          </w:tcPr>
          <w:p>
            <w:pPr>
              <w:spacing w:after="0"/>
              <w:rPr>
                <w:sz w:val="18"/>
                <w:szCs w:val="18"/>
                <w:color w:val="auto"/>
              </w:rPr>
            </w:pPr>
          </w:p>
        </w:tc>
        <w:tc>
          <w:tcPr>
            <w:tcW w:w="4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 vs. 2021</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D5E6F7"/>
            </w:tcBorders>
          </w:tcPr>
          <w:p>
            <w:pPr>
              <w:spacing w:after="0"/>
              <w:rPr>
                <w:sz w:val="18"/>
                <w:szCs w:val="18"/>
                <w:color w:val="auto"/>
              </w:rPr>
            </w:pPr>
          </w:p>
        </w:tc>
      </w:tr>
      <w:tr>
        <w:trPr>
          <w:trHeight w:val="209"/>
        </w:trPr>
        <w:tc>
          <w:tcPr>
            <w:tcW w:w="292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Cost of revenue:</w:t>
            </w:r>
          </w:p>
        </w:tc>
        <w:tc>
          <w:tcPr>
            <w:tcW w:w="6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8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10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4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10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92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Subscription and services</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49,563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46,134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43,748</w:t>
            </w:r>
          </w:p>
        </w:tc>
        <w:tc>
          <w:tcPr>
            <w:tcW w:w="4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377"/>
              <w:spacing w:after="0"/>
              <w:rPr>
                <w:sz w:val="20"/>
                <w:szCs w:val="20"/>
                <w:color w:val="auto"/>
              </w:rPr>
            </w:pPr>
            <w:r>
              <w:rPr>
                <w:rFonts w:ascii="Arial" w:cs="Arial" w:eastAsia="Arial" w:hAnsi="Arial"/>
                <w:sz w:val="18"/>
                <w:szCs w:val="18"/>
                <w:color w:val="auto"/>
              </w:rPr>
              <w:t>3,429</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2920" w:type="dxa"/>
            <w:vAlign w:val="bottom"/>
            <w:shd w:val="clear" w:color="auto" w:fill="D5E6F7"/>
          </w:tcPr>
          <w:p>
            <w:pPr>
              <w:ind w:left="260"/>
              <w:spacing w:after="0"/>
              <w:rPr>
                <w:sz w:val="20"/>
                <w:szCs w:val="20"/>
                <w:color w:val="auto"/>
              </w:rPr>
            </w:pPr>
            <w:r>
              <w:rPr>
                <w:rFonts w:ascii="Arial" w:cs="Arial" w:eastAsia="Arial" w:hAnsi="Arial"/>
                <w:sz w:val="18"/>
                <w:szCs w:val="18"/>
                <w:color w:val="auto"/>
              </w:rPr>
              <w:t>Product and other</w:t>
            </w:r>
          </w:p>
        </w:tc>
        <w:tc>
          <w:tcPr>
            <w:tcW w:w="62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0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24,289</w:t>
            </w:r>
          </w:p>
        </w:tc>
        <w:tc>
          <w:tcPr>
            <w:tcW w:w="42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18,009</w:t>
            </w:r>
          </w:p>
        </w:tc>
        <w:tc>
          <w:tcPr>
            <w:tcW w:w="360" w:type="dxa"/>
            <w:vAlign w:val="bottom"/>
            <w:shd w:val="clear" w:color="auto" w:fill="D5E6F7"/>
          </w:tcPr>
          <w:p>
            <w:pPr>
              <w:spacing w:after="0"/>
              <w:rPr>
                <w:sz w:val="18"/>
                <w:szCs w:val="18"/>
                <w:color w:val="auto"/>
              </w:rPr>
            </w:pPr>
          </w:p>
        </w:tc>
        <w:tc>
          <w:tcPr>
            <w:tcW w:w="4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18,464</w:t>
            </w:r>
          </w:p>
        </w:tc>
        <w:tc>
          <w:tcPr>
            <w:tcW w:w="400" w:type="dxa"/>
            <w:vAlign w:val="bottom"/>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920" w:type="dxa"/>
            <w:vAlign w:val="bottom"/>
            <w:tcBorders>
              <w:bottom w:val="single" w:sz="8" w:color="auto"/>
            </w:tcBorders>
            <w:shd w:val="clear" w:color="auto" w:fill="D5E6F7"/>
          </w:tcPr>
          <w:p>
            <w:pPr>
              <w:jc w:val="center"/>
              <w:ind w:left="377"/>
              <w:spacing w:after="0"/>
              <w:rPr>
                <w:sz w:val="20"/>
                <w:szCs w:val="20"/>
                <w:color w:val="auto"/>
              </w:rPr>
            </w:pPr>
            <w:r>
              <w:rPr>
                <w:rFonts w:ascii="Arial" w:cs="Arial" w:eastAsia="Arial" w:hAnsi="Arial"/>
                <w:sz w:val="18"/>
                <w:szCs w:val="18"/>
                <w:color w:val="auto"/>
              </w:rPr>
              <w:t>6,280</w:t>
            </w:r>
          </w:p>
        </w:tc>
        <w:tc>
          <w:tcPr>
            <w:tcW w:w="40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35%</w:t>
            </w:r>
          </w:p>
        </w:tc>
      </w:tr>
      <w:tr>
        <w:trPr>
          <w:trHeight w:val="209"/>
        </w:trPr>
        <w:tc>
          <w:tcPr>
            <w:tcW w:w="2920" w:type="dxa"/>
            <w:vAlign w:val="bottom"/>
          </w:tcPr>
          <w:p>
            <w:pPr>
              <w:spacing w:after="0"/>
              <w:rPr>
                <w:sz w:val="20"/>
                <w:szCs w:val="20"/>
                <w:color w:val="auto"/>
              </w:rPr>
            </w:pPr>
            <w:r>
              <w:rPr>
                <w:rFonts w:ascii="Arial" w:cs="Arial" w:eastAsia="Arial" w:hAnsi="Arial"/>
                <w:sz w:val="18"/>
                <w:szCs w:val="18"/>
                <w:color w:val="auto"/>
              </w:rPr>
              <w:t>Total cost of revenue</w:t>
            </w:r>
          </w:p>
        </w:tc>
        <w:tc>
          <w:tcPr>
            <w:tcW w:w="6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73,852</w:t>
            </w:r>
          </w:p>
        </w:tc>
        <w:tc>
          <w:tcPr>
            <w:tcW w:w="4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64,143</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62,212</w:t>
            </w:r>
          </w:p>
        </w:tc>
        <w:tc>
          <w:tcPr>
            <w:tcW w:w="4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377"/>
              <w:spacing w:after="0"/>
              <w:rPr>
                <w:sz w:val="20"/>
                <w:szCs w:val="20"/>
                <w:color w:val="auto"/>
              </w:rPr>
            </w:pPr>
            <w:r>
              <w:rPr>
                <w:rFonts w:ascii="Arial" w:cs="Arial" w:eastAsia="Arial" w:hAnsi="Arial"/>
                <w:sz w:val="18"/>
                <w:szCs w:val="18"/>
                <w:color w:val="auto"/>
              </w:rPr>
              <w:t>9,709</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0"/>
        </w:trPr>
        <w:tc>
          <w:tcPr>
            <w:tcW w:w="2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354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260"/>
              <w:spacing w:after="0"/>
              <w:rPr>
                <w:sz w:val="20"/>
                <w:szCs w:val="20"/>
                <w:color w:val="auto"/>
              </w:rPr>
            </w:pPr>
            <w:r>
              <w:rPr>
                <w:rFonts w:ascii="Arial" w:cs="Arial" w:eastAsia="Arial" w:hAnsi="Arial"/>
                <w:sz w:val="18"/>
                <w:szCs w:val="18"/>
                <w:color w:val="auto"/>
              </w:rPr>
              <w:t>Subscription and services</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4060" w:type="dxa"/>
            <w:vAlign w:val="bottom"/>
            <w:gridSpan w:val="2"/>
          </w:tcPr>
          <w:p>
            <w:pPr>
              <w:jc w:val="right"/>
              <w:ind w:right="24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540" w:type="dxa"/>
            <w:vAlign w:val="bottom"/>
            <w:shd w:val="clear" w:color="auto" w:fill="D5E6F7"/>
          </w:tcPr>
          <w:p>
            <w:pPr>
              <w:ind w:left="260"/>
              <w:spacing w:after="0"/>
              <w:rPr>
                <w:sz w:val="20"/>
                <w:szCs w:val="20"/>
                <w:color w:val="auto"/>
              </w:rPr>
            </w:pPr>
            <w:r>
              <w:rPr>
                <w:rFonts w:ascii="Arial" w:cs="Arial" w:eastAsia="Arial" w:hAnsi="Arial"/>
                <w:sz w:val="18"/>
                <w:szCs w:val="18"/>
                <w:color w:val="auto"/>
              </w:rPr>
              <w:t>Product and other</w:t>
            </w:r>
          </w:p>
        </w:tc>
        <w:tc>
          <w:tcPr>
            <w:tcW w:w="182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(49)%</w:t>
            </w:r>
          </w:p>
        </w:tc>
        <w:tc>
          <w:tcPr>
            <w:tcW w:w="1820" w:type="dxa"/>
            <w:vAlign w:val="bottom"/>
            <w:gridSpan w:val="2"/>
            <w:shd w:val="clear" w:color="auto" w:fill="D5E6F7"/>
          </w:tcPr>
          <w:p>
            <w:pPr>
              <w:jc w:val="right"/>
              <w:ind w:right="180"/>
              <w:spacing w:after="0"/>
              <w:rPr>
                <w:sz w:val="20"/>
                <w:szCs w:val="20"/>
                <w:color w:val="auto"/>
              </w:rPr>
            </w:pPr>
            <w:r>
              <w:rPr>
                <w:rFonts w:ascii="Arial" w:cs="Arial" w:eastAsia="Arial" w:hAnsi="Arial"/>
                <w:sz w:val="18"/>
                <w:szCs w:val="18"/>
                <w:color w:val="auto"/>
              </w:rPr>
              <w:t>(49)%</w:t>
            </w:r>
          </w:p>
        </w:tc>
        <w:tc>
          <w:tcPr>
            <w:tcW w:w="4060" w:type="dxa"/>
            <w:vAlign w:val="bottom"/>
            <w:gridSpan w:val="2"/>
            <w:shd w:val="clear" w:color="auto" w:fill="D5E6F7"/>
          </w:tcPr>
          <w:p>
            <w:pPr>
              <w:jc w:val="right"/>
              <w:ind w:right="24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060" w:type="dxa"/>
            <w:vAlign w:val="bottom"/>
            <w:gridSpan w:val="2"/>
          </w:tcPr>
          <w:p>
            <w:pPr>
              <w:jc w:val="right"/>
              <w:ind w:right="24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Subscription and services gross margin of 72% increased year-over-year from 71% reflecting the continued growth of Ooma Business revenues with higher average revenue per user and associated benefits of economies of scale. Cost of subscription and services revenue for fiscal 2022 increased $3.4 million or 7% year-over-year, primarily due to a $1.6 million increase in regulatory costs, a $0.9 million increase in personnel-related costs and a $0.8 million infrastructure costs that support the growth of Ooma Business.</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Product and other revenue gross margin of negative 49% was comparable year-over-year. Cost of product and other revenue increased $6.3 million or 35% year-over-year, primarily due to a significant increase in product sales volume as described above.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003A5D"/>
        </w:rPr>
        <w:t>Operating Expenses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Fiscal Year Ended January 31,</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372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D5E6F7"/>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 vs. 2021</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D5E6F7"/>
            </w:tcBorders>
          </w:tcPr>
          <w:p>
            <w:pPr>
              <w:spacing w:after="0"/>
              <w:rPr>
                <w:sz w:val="18"/>
                <w:szCs w:val="18"/>
                <w:color w:val="auto"/>
              </w:rPr>
            </w:pPr>
          </w:p>
        </w:tc>
      </w:tr>
      <w:tr>
        <w:trPr>
          <w:trHeight w:val="210"/>
        </w:trPr>
        <w:tc>
          <w:tcPr>
            <w:tcW w:w="3720" w:type="dxa"/>
            <w:vAlign w:val="bottom"/>
            <w:shd w:val="clear" w:color="auto" w:fill="D5E6F7"/>
          </w:tcPr>
          <w:p>
            <w:pPr>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58,631</w:t>
            </w:r>
          </w:p>
        </w:tc>
        <w:tc>
          <w:tcPr>
            <w:tcW w:w="26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50,919</w:t>
            </w:r>
          </w:p>
        </w:tc>
        <w:tc>
          <w:tcPr>
            <w:tcW w:w="26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50,497</w:t>
            </w:r>
          </w:p>
        </w:tc>
        <w:tc>
          <w:tcPr>
            <w:tcW w:w="260" w:type="dxa"/>
            <w:vAlign w:val="bottom"/>
            <w:shd w:val="clear" w:color="auto" w:fill="D5E6F7"/>
          </w:tcPr>
          <w:p>
            <w:pPr>
              <w:spacing w:after="0"/>
              <w:rPr>
                <w:sz w:val="18"/>
                <w:szCs w:val="18"/>
                <w:color w:val="auto"/>
              </w:rPr>
            </w:pPr>
          </w:p>
        </w:tc>
        <w:tc>
          <w:tcPr>
            <w:tcW w:w="360" w:type="dxa"/>
            <w:vAlign w:val="bottom"/>
            <w:shd w:val="clear" w:color="auto" w:fill="D5E6F7"/>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7,712</w:t>
            </w:r>
          </w:p>
        </w:tc>
        <w:tc>
          <w:tcPr>
            <w:tcW w:w="40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38,193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2,114</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3720" w:type="dxa"/>
            <w:vAlign w:val="bottom"/>
            <w:shd w:val="clear" w:color="auto" w:fill="D5E6F7"/>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D5E6F7"/>
          </w:tcPr>
          <w:p>
            <w:pPr>
              <w:spacing w:after="0"/>
              <w:rPr>
                <w:sz w:val="18"/>
                <w:szCs w:val="18"/>
                <w:color w:val="auto"/>
              </w:rPr>
            </w:pPr>
          </w:p>
        </w:tc>
        <w:tc>
          <w:tcPr>
            <w:tcW w:w="11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23,544</w:t>
            </w:r>
          </w:p>
        </w:tc>
        <w:tc>
          <w:tcPr>
            <w:tcW w:w="260" w:type="dxa"/>
            <w:vAlign w:val="bottom"/>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11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20,581</w:t>
            </w:r>
          </w:p>
        </w:tc>
        <w:tc>
          <w:tcPr>
            <w:tcW w:w="260" w:type="dxa"/>
            <w:vAlign w:val="bottom"/>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11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20,825</w:t>
            </w:r>
          </w:p>
        </w:tc>
        <w:tc>
          <w:tcPr>
            <w:tcW w:w="260" w:type="dxa"/>
            <w:vAlign w:val="bottom"/>
            <w:shd w:val="clear" w:color="auto" w:fill="D5E6F7"/>
          </w:tcPr>
          <w:p>
            <w:pPr>
              <w:spacing w:after="0"/>
              <w:rPr>
                <w:sz w:val="18"/>
                <w:szCs w:val="18"/>
                <w:color w:val="auto"/>
              </w:rPr>
            </w:pPr>
          </w:p>
        </w:tc>
        <w:tc>
          <w:tcPr>
            <w:tcW w:w="360" w:type="dxa"/>
            <w:vAlign w:val="bottom"/>
            <w:tcBorders>
              <w:bottom w:val="single" w:sz="8" w:color="auto"/>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2,963</w:t>
            </w:r>
          </w:p>
        </w:tc>
        <w:tc>
          <w:tcPr>
            <w:tcW w:w="40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14%</w:t>
            </w: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120,368</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107,579</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109,092</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12,789</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Sales and marketing expenses increased $7.7 million or 15% year-over-year, primarily due to a $6.4 million increase in advertising and marketing costs and a $2.0 million increase in amortization of capitalized sales commissions, that were offset in part by a $ 0.6 million decrease in personnel-related costs. Overall, the year-over-year increase in sales and marketing reflects our strategy to drive continued growth in sales of Ooma Business.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increased $2.1 million or 6% year-over-year, primarily due to a $ 1.1 million increase in personnel-related costs and a $0.5 million increase in facilities-related costs, driven by higher headcount, as well as a $0.5 million increase in prototype-related and other engineering costs. Overall, the year-over-year increase in research and development supports our efforts in the development of new features for both Ooma Office and Ooma Enterprise, new products such as Ooma AirDial, and launching our Ooma Business services in a number of international countries.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increased $3.0 million or 14% year-over-year, primarily due to a $1.8 million increase in personnel-related costs, including stock-based compensation expense, a $0.7 million increase in professional services related to our international expansion efforts, and a $0.5 million increase in other administrative expenses.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003A5D"/>
        </w:rPr>
        <w:t>Non-GAAP Financial Measures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Form 10-K contains certain non-GAAP financial measures, including non-GAAP net income (loss) below and Adjusted EBITDA (see “Key Metrics” above). These non-GAAP financial measures exclude non-cash stock-based compensation expense and related taxes, amortization of acquired intangible assets and other acquisition-related charges, restructuring charges and certain litigation costs that are not representative of the ordinary course of our business.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These non-GAAP financial measures are presented to provide investors with additional information regarding our financial results and core business operations. We consider these non-GAAP financial measures to be useful measures of the operating performance of the Company, because they contain adjustments for unusual events or factors that do not directly affect what management considers to be our core operating performance, and are used by our management for that purpose. We also believe that these non-GAAP financial measures allow for a better evaluation of our performance by facilitating a meaningful comparison of our core operating results in a given period to those in prior and future periods. In addition, investors often use similar measures to evaluate the operating performance of a company.</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Non-GAAP financial measures are presented for supplemental informational purposes only to aid an understanding of our operating results and should not be considered a substitute for financial information presented in accordance with GAAP and may be different from non-GAAP financial measures presented by other companies. A limitation of the non-GAAP financial measures presented is that the adjustments relate to items that the Company generally expects to continue to recognize. The adjustment of these items should not be construed as an inference that the adjusted expenses or gains are unusual, infrequent or non-recurring. Therefore, both GAAP financial measures of Ooma’s financial performance and the respective non-GAAP measures should be considered together.</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a reconciliation of GAAP net loss to non-GAAP net income (loss) for each of the periods indicated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ind w:right="187"/>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6420" w:type="dxa"/>
            <w:vAlign w:val="bottom"/>
            <w:tcBorders>
              <w:bottom w:val="single" w:sz="8" w:color="D5E6F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D5E6F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9"/>
                <w:szCs w:val="19"/>
                <w:color w:val="auto"/>
              </w:rPr>
            </w:pPr>
          </w:p>
        </w:tc>
        <w:tc>
          <w:tcPr>
            <w:tcW w:w="20" w:type="dxa"/>
            <w:vAlign w:val="bottom"/>
            <w:tcBorders>
              <w:bottom w:val="single" w:sz="8" w:color="D5E6F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9"/>
                <w:szCs w:val="19"/>
                <w:color w:val="auto"/>
              </w:rPr>
            </w:pPr>
          </w:p>
        </w:tc>
      </w:tr>
      <w:tr>
        <w:trPr>
          <w:trHeight w:val="211"/>
        </w:trPr>
        <w:tc>
          <w:tcPr>
            <w:tcW w:w="6420" w:type="dxa"/>
            <w:vAlign w:val="bottom"/>
            <w:shd w:val="clear" w:color="auto" w:fill="D5E6F7"/>
          </w:tcPr>
          <w:p>
            <w:pPr>
              <w:spacing w:after="0"/>
              <w:rPr>
                <w:sz w:val="20"/>
                <w:szCs w:val="20"/>
                <w:color w:val="auto"/>
              </w:rPr>
            </w:pPr>
            <w:r>
              <w:rPr>
                <w:rFonts w:ascii="Arial" w:cs="Arial" w:eastAsia="Arial" w:hAnsi="Arial"/>
                <w:sz w:val="16"/>
                <w:szCs w:val="16"/>
                <w:b w:val="1"/>
                <w:bCs w:val="1"/>
                <w:color w:val="auto"/>
              </w:rPr>
              <w:t>GAAP net loss</w:t>
            </w:r>
          </w:p>
        </w:tc>
        <w:tc>
          <w:tcPr>
            <w:tcW w:w="32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(1,751)</w:t>
            </w:r>
          </w:p>
        </w:tc>
        <w:tc>
          <w:tcPr>
            <w:tcW w:w="280" w:type="dxa"/>
            <w:vAlign w:val="bottom"/>
            <w:shd w:val="clear" w:color="auto" w:fill="D5E6F7"/>
          </w:tcPr>
          <w:p>
            <w:pPr>
              <w:spacing w:after="0"/>
              <w:rPr>
                <w:sz w:val="18"/>
                <w:szCs w:val="18"/>
                <w:color w:val="auto"/>
              </w:rPr>
            </w:pPr>
          </w:p>
        </w:tc>
        <w:tc>
          <w:tcPr>
            <w:tcW w:w="32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shd w:val="clear" w:color="auto" w:fill="D5E6F7"/>
          </w:tcPr>
          <w:p>
            <w:pPr>
              <w:spacing w:after="0"/>
              <w:rPr>
                <w:sz w:val="18"/>
                <w:szCs w:val="18"/>
                <w:color w:val="auto"/>
              </w:rPr>
            </w:pPr>
          </w:p>
        </w:tc>
      </w:tr>
      <w:tr>
        <w:trPr>
          <w:trHeight w:val="216"/>
        </w:trPr>
        <w:tc>
          <w:tcPr>
            <w:tcW w:w="6420" w:type="dxa"/>
            <w:vAlign w:val="bottom"/>
          </w:tcPr>
          <w:p>
            <w:pPr>
              <w:ind w:left="140"/>
              <w:spacing w:after="0"/>
              <w:rPr>
                <w:sz w:val="20"/>
                <w:szCs w:val="20"/>
                <w:color w:val="auto"/>
              </w:rPr>
            </w:pPr>
            <w:r>
              <w:rPr>
                <w:rFonts w:ascii="Arial" w:cs="Arial" w:eastAsia="Arial" w:hAnsi="Arial"/>
                <w:sz w:val="16"/>
                <w:szCs w:val="16"/>
                <w:color w:val="auto"/>
              </w:rPr>
              <w:t>Stock-based compensation and related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13,077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18"/>
                <w:szCs w:val="18"/>
                <w:color w:val="auto"/>
              </w:rPr>
            </w:pPr>
          </w:p>
        </w:tc>
      </w:tr>
      <w:tr>
        <w:trPr>
          <w:trHeight w:val="216"/>
        </w:trPr>
        <w:tc>
          <w:tcPr>
            <w:tcW w:w="64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Amortization of acquired intangible assets and acquisition-related costs</w:t>
            </w:r>
          </w:p>
        </w:tc>
        <w:tc>
          <w:tcPr>
            <w:tcW w:w="32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1,304</w:t>
            </w:r>
          </w:p>
        </w:tc>
        <w:tc>
          <w:tcPr>
            <w:tcW w:w="2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1,304</w:t>
            </w:r>
          </w:p>
        </w:tc>
        <w:tc>
          <w:tcPr>
            <w:tcW w:w="24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D5E6F7"/>
          </w:tcPr>
          <w:p>
            <w:pPr>
              <w:spacing w:after="0"/>
              <w:rPr>
                <w:sz w:val="18"/>
                <w:szCs w:val="18"/>
                <w:color w:val="auto"/>
              </w:rPr>
            </w:pPr>
          </w:p>
        </w:tc>
      </w:tr>
      <w:tr>
        <w:trPr>
          <w:trHeight w:val="216"/>
        </w:trPr>
        <w:tc>
          <w:tcPr>
            <w:tcW w:w="642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8"/>
                <w:szCs w:val="18"/>
                <w:color w:val="auto"/>
              </w:rPr>
            </w:pPr>
          </w:p>
        </w:tc>
      </w:tr>
      <w:tr>
        <w:trPr>
          <w:trHeight w:val="216"/>
        </w:trPr>
        <w:tc>
          <w:tcPr>
            <w:tcW w:w="64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Litigation costs</w:t>
            </w:r>
          </w:p>
        </w:tc>
        <w:tc>
          <w:tcPr>
            <w:tcW w:w="320" w:type="dxa"/>
            <w:vAlign w:val="bottom"/>
            <w:shd w:val="clear" w:color="auto" w:fill="D5E6F7"/>
          </w:tcPr>
          <w:p>
            <w:pPr>
              <w:spacing w:after="0"/>
              <w:rPr>
                <w:sz w:val="18"/>
                <w:szCs w:val="18"/>
                <w:color w:val="auto"/>
              </w:rPr>
            </w:pPr>
          </w:p>
        </w:tc>
        <w:tc>
          <w:tcPr>
            <w:tcW w:w="1360" w:type="dxa"/>
            <w:vAlign w:val="bottom"/>
            <w:gridSpan w:val="2"/>
            <w:shd w:val="clear" w:color="auto" w:fill="D5E6F7"/>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D5E6F7"/>
          </w:tcPr>
          <w:p>
            <w:pPr>
              <w:spacing w:after="0"/>
              <w:rPr>
                <w:sz w:val="18"/>
                <w:szCs w:val="18"/>
                <w:color w:val="auto"/>
              </w:rPr>
            </w:pPr>
          </w:p>
        </w:tc>
        <w:tc>
          <w:tcPr>
            <w:tcW w:w="1320" w:type="dxa"/>
            <w:vAlign w:val="bottom"/>
            <w:gridSpan w:val="2"/>
            <w:shd w:val="clear" w:color="auto" w:fill="D5E6F7"/>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D5E6F7"/>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6"/>
                <w:szCs w:val="16"/>
                <w:b w:val="1"/>
                <w:bCs w:val="1"/>
                <w:color w:val="auto"/>
              </w:rPr>
              <w:t>Non-GAAP net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4" w:name="page55"/>
    <w:bookmarkEnd w:id="54"/>
    <w:p>
      <w:pPr>
        <w:spacing w:after="0"/>
        <w:rPr>
          <w:sz w:val="20"/>
          <w:szCs w:val="20"/>
          <w:color w:val="auto"/>
        </w:rPr>
      </w:pPr>
      <w:r>
        <w:rPr>
          <w:rFonts w:ascii="Arial" w:cs="Arial" w:eastAsia="Arial" w:hAnsi="Arial"/>
          <w:sz w:val="29"/>
          <w:szCs w:val="29"/>
          <w:b w:val="1"/>
          <w:bCs w:val="1"/>
          <w:color w:val="003A5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January 31, 2022, we had $31.3 million of total cash, cash equivalents and investments, which we believe will be sufficient to meet our cash needs for at least the next 12 months. Our future capital requirements will depend on many factors, including our growth rate, the introduction of new and enhanced offerings, the timing and extent of our sales and marketing activities and research and development expenditures, the expansion of our business internationally and other factors. We may in the future make investments in or acquisitions of businesses or technologies, which may require the use of cash.</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selected cash flow information, for the periods indicated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right"/>
              <w:ind w:right="147"/>
              <w:spacing w:after="0"/>
              <w:rPr>
                <w:sz w:val="20"/>
                <w:szCs w:val="20"/>
                <w:color w:val="auto"/>
              </w:rPr>
            </w:pPr>
            <w:r>
              <w:rPr>
                <w:rFonts w:ascii="Arial" w:cs="Arial" w:eastAsia="Arial" w:hAnsi="Arial"/>
                <w:sz w:val="14"/>
                <w:szCs w:val="14"/>
                <w:b w:val="1"/>
                <w:bCs w:val="1"/>
                <w:color w:val="auto"/>
              </w:rPr>
              <w:t>Fiscal Year Ended January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6540" w:type="dxa"/>
            <w:vAlign w:val="bottom"/>
            <w:tcBorders>
              <w:bottom w:val="single" w:sz="8" w:color="D5E6F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D5E6F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7"/>
                <w:szCs w:val="17"/>
                <w:color w:val="auto"/>
              </w:rPr>
            </w:pPr>
          </w:p>
        </w:tc>
        <w:tc>
          <w:tcPr>
            <w:tcW w:w="20" w:type="dxa"/>
            <w:vAlign w:val="bottom"/>
            <w:tcBorders>
              <w:bottom w:val="single" w:sz="8" w:color="D5E6F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5E6F7"/>
            </w:tcBorders>
          </w:tcPr>
          <w:p>
            <w:pPr>
              <w:spacing w:after="0"/>
              <w:rPr>
                <w:sz w:val="17"/>
                <w:szCs w:val="17"/>
                <w:color w:val="auto"/>
              </w:rPr>
            </w:pPr>
          </w:p>
        </w:tc>
      </w:tr>
      <w:tr>
        <w:trPr>
          <w:trHeight w:val="209"/>
        </w:trPr>
        <w:tc>
          <w:tcPr>
            <w:tcW w:w="6540" w:type="dxa"/>
            <w:vAlign w:val="bottom"/>
            <w:shd w:val="clear" w:color="auto" w:fill="D5E6F7"/>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6,655</w:t>
            </w:r>
          </w:p>
        </w:tc>
        <w:tc>
          <w:tcPr>
            <w:tcW w:w="28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4,367</w:t>
            </w:r>
          </w:p>
        </w:tc>
        <w:tc>
          <w:tcPr>
            <w:tcW w:w="24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(7,564)</w:t>
            </w:r>
          </w:p>
        </w:tc>
        <w:tc>
          <w:tcPr>
            <w:tcW w:w="120" w:type="dxa"/>
            <w:vAlign w:val="bottom"/>
            <w:shd w:val="clear" w:color="auto" w:fill="D5E6F7"/>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(4,887)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18"/>
                <w:szCs w:val="18"/>
                <w:color w:val="auto"/>
              </w:rPr>
            </w:pPr>
          </w:p>
        </w:tc>
      </w:tr>
      <w:tr>
        <w:trPr>
          <w:trHeight w:val="216"/>
        </w:trPr>
        <w:tc>
          <w:tcPr>
            <w:tcW w:w="6540" w:type="dxa"/>
            <w:vAlign w:val="bottom"/>
            <w:shd w:val="clear" w:color="auto" w:fill="D5E6F7"/>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601</w:t>
            </w:r>
          </w:p>
        </w:tc>
        <w:tc>
          <w:tcPr>
            <w:tcW w:w="28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0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D5E6F7"/>
          </w:tcPr>
          <w:p>
            <w:pPr>
              <w:spacing w:after="0"/>
              <w:rPr>
                <w:sz w:val="18"/>
                <w:szCs w:val="18"/>
                <w:color w:val="auto"/>
              </w:rPr>
            </w:pPr>
          </w:p>
        </w:tc>
      </w:tr>
      <w:tr>
        <w:trPr>
          <w:trHeight w:val="209"/>
        </w:trPr>
        <w:tc>
          <w:tcPr>
            <w:tcW w:w="6540" w:type="dxa"/>
            <w:vAlign w:val="bottom"/>
          </w:tcPr>
          <w:p>
            <w:pPr>
              <w:ind w:left="1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Operating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selected cash flow information, for the periods indicated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Fiscal Year Ended January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940" w:type="dxa"/>
            <w:vAlign w:val="bottom"/>
            <w:tcBorders>
              <w:bottom w:val="single" w:sz="8" w:color="D5E6F7"/>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D5E6F7"/>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D5E6F7"/>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7"/>
                <w:szCs w:val="17"/>
                <w:color w:val="auto"/>
              </w:rPr>
            </w:pPr>
          </w:p>
        </w:tc>
      </w:tr>
      <w:tr>
        <w:trPr>
          <w:trHeight w:val="210"/>
        </w:trPr>
        <w:tc>
          <w:tcPr>
            <w:tcW w:w="5940" w:type="dxa"/>
            <w:vAlign w:val="bottom"/>
            <w:shd w:val="clear" w:color="auto" w:fill="D5E6F7"/>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D5E6F7"/>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(1,751)</w:t>
            </w:r>
          </w:p>
        </w:tc>
        <w:tc>
          <w:tcPr>
            <w:tcW w:w="280" w:type="dxa"/>
            <w:vAlign w:val="bottom"/>
            <w:shd w:val="clear" w:color="auto" w:fill="D5E6F7"/>
          </w:tcPr>
          <w:p>
            <w:pPr>
              <w:spacing w:after="0"/>
              <w:rPr>
                <w:sz w:val="18"/>
                <w:szCs w:val="18"/>
                <w:color w:val="auto"/>
              </w:rPr>
            </w:pP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(2,441)</w:t>
            </w:r>
          </w:p>
        </w:tc>
        <w:tc>
          <w:tcPr>
            <w:tcW w:w="320" w:type="dxa"/>
            <w:vAlign w:val="bottom"/>
            <w:shd w:val="clear" w:color="auto" w:fill="D5E6F7"/>
          </w:tcPr>
          <w:p>
            <w:pPr>
              <w:spacing w:after="0"/>
              <w:rPr>
                <w:sz w:val="18"/>
                <w:szCs w:val="18"/>
                <w:color w:val="auto"/>
              </w:rPr>
            </w:pP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shd w:val="clear" w:color="auto" w:fill="D5E6F7"/>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Non-cash charges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20,095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19,645</w:t>
            </w:r>
          </w:p>
        </w:tc>
        <w:tc>
          <w:tcPr>
            <w:tcW w:w="100" w:type="dxa"/>
            <w:vAlign w:val="bottom"/>
          </w:tcPr>
          <w:p>
            <w:pPr>
              <w:spacing w:after="0"/>
              <w:rPr>
                <w:sz w:val="18"/>
                <w:szCs w:val="18"/>
                <w:color w:val="auto"/>
              </w:rPr>
            </w:pPr>
          </w:p>
        </w:tc>
      </w:tr>
      <w:tr>
        <w:trPr>
          <w:trHeight w:val="229"/>
        </w:trPr>
        <w:tc>
          <w:tcPr>
            <w:tcW w:w="5940" w:type="dxa"/>
            <w:vAlign w:val="bottom"/>
            <w:shd w:val="clear" w:color="auto" w:fill="D5E6F7"/>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D5E6F7"/>
          </w:tcPr>
          <w:p>
            <w:pPr>
              <w:spacing w:after="0"/>
              <w:rPr>
                <w:sz w:val="19"/>
                <w:szCs w:val="19"/>
                <w:color w:val="auto"/>
              </w:rPr>
            </w:pPr>
          </w:p>
        </w:tc>
        <w:tc>
          <w:tcPr>
            <w:tcW w:w="600" w:type="dxa"/>
            <w:vAlign w:val="bottom"/>
            <w:shd w:val="clear" w:color="auto" w:fill="D5E6F7"/>
          </w:tcPr>
          <w:p>
            <w:pPr>
              <w:spacing w:after="0"/>
              <w:rPr>
                <w:sz w:val="19"/>
                <w:szCs w:val="19"/>
                <w:color w:val="auto"/>
              </w:rPr>
            </w:pPr>
          </w:p>
        </w:tc>
        <w:tc>
          <w:tcPr>
            <w:tcW w:w="280" w:type="dxa"/>
            <w:vAlign w:val="bottom"/>
            <w:shd w:val="clear" w:color="auto" w:fill="D5E6F7"/>
          </w:tcPr>
          <w:p>
            <w:pPr>
              <w:spacing w:after="0"/>
              <w:rPr>
                <w:sz w:val="19"/>
                <w:szCs w:val="19"/>
                <w:color w:val="auto"/>
              </w:rPr>
            </w:pPr>
          </w:p>
        </w:tc>
        <w:tc>
          <w:tcPr>
            <w:tcW w:w="340" w:type="dxa"/>
            <w:vAlign w:val="bottom"/>
            <w:shd w:val="clear" w:color="auto" w:fill="D5E6F7"/>
          </w:tcPr>
          <w:p>
            <w:pPr>
              <w:spacing w:after="0"/>
              <w:rPr>
                <w:sz w:val="19"/>
                <w:szCs w:val="19"/>
                <w:color w:val="auto"/>
              </w:rPr>
            </w:pPr>
          </w:p>
        </w:tc>
        <w:tc>
          <w:tcPr>
            <w:tcW w:w="1180" w:type="dxa"/>
            <w:vAlign w:val="bottom"/>
            <w:shd w:val="clear" w:color="auto" w:fill="D5E6F7"/>
          </w:tcPr>
          <w:p>
            <w:pPr>
              <w:spacing w:after="0"/>
              <w:rPr>
                <w:sz w:val="19"/>
                <w:szCs w:val="19"/>
                <w:color w:val="auto"/>
              </w:rPr>
            </w:pPr>
          </w:p>
        </w:tc>
        <w:tc>
          <w:tcPr>
            <w:tcW w:w="320" w:type="dxa"/>
            <w:vAlign w:val="bottom"/>
            <w:shd w:val="clear" w:color="auto" w:fill="D5E6F7"/>
          </w:tcPr>
          <w:p>
            <w:pPr>
              <w:spacing w:after="0"/>
              <w:rPr>
                <w:sz w:val="19"/>
                <w:szCs w:val="19"/>
                <w:color w:val="auto"/>
              </w:rPr>
            </w:pPr>
          </w:p>
        </w:tc>
        <w:tc>
          <w:tcPr>
            <w:tcW w:w="340" w:type="dxa"/>
            <w:vAlign w:val="bottom"/>
            <w:shd w:val="clear" w:color="auto" w:fill="D5E6F7"/>
          </w:tcPr>
          <w:p>
            <w:pPr>
              <w:spacing w:after="0"/>
              <w:rPr>
                <w:sz w:val="19"/>
                <w:szCs w:val="19"/>
                <w:color w:val="auto"/>
              </w:rPr>
            </w:pPr>
          </w:p>
        </w:tc>
        <w:tc>
          <w:tcPr>
            <w:tcW w:w="1200" w:type="dxa"/>
            <w:vAlign w:val="bottom"/>
            <w:shd w:val="clear" w:color="auto" w:fill="D5E6F7"/>
          </w:tcPr>
          <w:p>
            <w:pPr>
              <w:spacing w:after="0"/>
              <w:rPr>
                <w:sz w:val="19"/>
                <w:szCs w:val="19"/>
                <w:color w:val="auto"/>
              </w:rPr>
            </w:pPr>
          </w:p>
        </w:tc>
        <w:tc>
          <w:tcPr>
            <w:tcW w:w="100" w:type="dxa"/>
            <w:vAlign w:val="bottom"/>
            <w:shd w:val="clear" w:color="auto" w:fill="D5E6F7"/>
          </w:tcPr>
          <w:p>
            <w:pPr>
              <w:spacing w:after="0"/>
              <w:rPr>
                <w:sz w:val="19"/>
                <w:szCs w:val="19"/>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(Increase) decrease in accounts receivable</w:t>
            </w:r>
          </w:p>
        </w:tc>
        <w:tc>
          <w:tcPr>
            <w:tcW w:w="940" w:type="dxa"/>
            <w:vAlign w:val="bottom"/>
          </w:tcPr>
          <w:p>
            <w:pPr>
              <w:spacing w:after="0"/>
              <w:rPr>
                <w:sz w:val="19"/>
                <w:szCs w:val="19"/>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(2,082)</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r>
        <w:trPr>
          <w:trHeight w:val="229"/>
        </w:trPr>
        <w:tc>
          <w:tcPr>
            <w:tcW w:w="59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(Increase) decrease in inventories</w:t>
            </w:r>
          </w:p>
        </w:tc>
        <w:tc>
          <w:tcPr>
            <w:tcW w:w="940" w:type="dxa"/>
            <w:vAlign w:val="bottom"/>
            <w:shd w:val="clear" w:color="auto" w:fill="D5E6F7"/>
          </w:tcPr>
          <w:p>
            <w:pPr>
              <w:spacing w:after="0"/>
              <w:rPr>
                <w:sz w:val="19"/>
                <w:szCs w:val="19"/>
                <w:color w:val="auto"/>
              </w:rPr>
            </w:pPr>
          </w:p>
        </w:tc>
        <w:tc>
          <w:tcPr>
            <w:tcW w:w="880" w:type="dxa"/>
            <w:vAlign w:val="bottom"/>
            <w:gridSpan w:val="2"/>
            <w:shd w:val="clear" w:color="auto" w:fill="D5E6F7"/>
          </w:tcPr>
          <w:p>
            <w:pPr>
              <w:jc w:val="right"/>
              <w:ind w:right="148"/>
              <w:spacing w:after="0"/>
              <w:rPr>
                <w:sz w:val="20"/>
                <w:szCs w:val="20"/>
                <w:color w:val="auto"/>
              </w:rPr>
            </w:pPr>
            <w:r>
              <w:rPr>
                <w:rFonts w:ascii="Arial" w:cs="Arial" w:eastAsia="Arial" w:hAnsi="Arial"/>
                <w:sz w:val="18"/>
                <w:szCs w:val="18"/>
                <w:color w:val="auto"/>
              </w:rPr>
              <w:t>(1,571)</w:t>
            </w:r>
          </w:p>
        </w:tc>
        <w:tc>
          <w:tcPr>
            <w:tcW w:w="340" w:type="dxa"/>
            <w:vAlign w:val="bottom"/>
            <w:shd w:val="clear" w:color="auto" w:fill="D5E6F7"/>
          </w:tcPr>
          <w:p>
            <w:pPr>
              <w:spacing w:after="0"/>
              <w:rPr>
                <w:sz w:val="19"/>
                <w:szCs w:val="19"/>
                <w:color w:val="auto"/>
              </w:rPr>
            </w:pPr>
          </w:p>
        </w:tc>
        <w:tc>
          <w:tcPr>
            <w:tcW w:w="1500" w:type="dxa"/>
            <w:vAlign w:val="bottom"/>
            <w:gridSpan w:val="2"/>
            <w:shd w:val="clear" w:color="auto" w:fill="D5E6F7"/>
          </w:tcPr>
          <w:p>
            <w:pPr>
              <w:jc w:val="right"/>
              <w:ind w:right="260"/>
              <w:spacing w:after="0"/>
              <w:rPr>
                <w:sz w:val="20"/>
                <w:szCs w:val="20"/>
                <w:color w:val="auto"/>
              </w:rPr>
            </w:pPr>
            <w:r>
              <w:rPr>
                <w:rFonts w:ascii="Arial" w:cs="Arial" w:eastAsia="Arial" w:hAnsi="Arial"/>
                <w:sz w:val="18"/>
                <w:szCs w:val="18"/>
                <w:color w:val="auto"/>
              </w:rPr>
              <w:t>(3,378)</w:t>
            </w:r>
          </w:p>
        </w:tc>
        <w:tc>
          <w:tcPr>
            <w:tcW w:w="340" w:type="dxa"/>
            <w:vAlign w:val="bottom"/>
            <w:shd w:val="clear" w:color="auto" w:fill="D5E6F7"/>
          </w:tcPr>
          <w:p>
            <w:pPr>
              <w:spacing w:after="0"/>
              <w:rPr>
                <w:sz w:val="19"/>
                <w:szCs w:val="19"/>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D5E6F7"/>
          </w:tcPr>
          <w:p>
            <w:pPr>
              <w:spacing w:after="0"/>
              <w:rPr>
                <w:sz w:val="19"/>
                <w:szCs w:val="19"/>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Increase in prepaid expenses and other assets</w:t>
            </w:r>
          </w:p>
        </w:tc>
        <w:tc>
          <w:tcPr>
            <w:tcW w:w="940" w:type="dxa"/>
            <w:vAlign w:val="bottom"/>
          </w:tcPr>
          <w:p>
            <w:pPr>
              <w:spacing w:after="0"/>
              <w:rPr>
                <w:sz w:val="19"/>
                <w:szCs w:val="19"/>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(4,609)</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(5,496)</w:t>
            </w: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(4,965)</w:t>
            </w:r>
          </w:p>
        </w:tc>
      </w:tr>
      <w:tr>
        <w:trPr>
          <w:trHeight w:val="230"/>
        </w:trPr>
        <w:tc>
          <w:tcPr>
            <w:tcW w:w="59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Decrease in accounts payable, accrued expenses and other liabilities</w:t>
            </w:r>
          </w:p>
        </w:tc>
        <w:tc>
          <w:tcPr>
            <w:tcW w:w="940" w:type="dxa"/>
            <w:vAlign w:val="bottom"/>
            <w:shd w:val="clear" w:color="auto" w:fill="D5E6F7"/>
          </w:tcPr>
          <w:p>
            <w:pPr>
              <w:spacing w:after="0"/>
              <w:rPr>
                <w:sz w:val="19"/>
                <w:szCs w:val="19"/>
                <w:color w:val="auto"/>
              </w:rPr>
            </w:pPr>
          </w:p>
        </w:tc>
        <w:tc>
          <w:tcPr>
            <w:tcW w:w="880" w:type="dxa"/>
            <w:vAlign w:val="bottom"/>
            <w:gridSpan w:val="2"/>
            <w:shd w:val="clear" w:color="auto" w:fill="D5E6F7"/>
          </w:tcPr>
          <w:p>
            <w:pPr>
              <w:jc w:val="right"/>
              <w:ind w:right="148"/>
              <w:spacing w:after="0"/>
              <w:rPr>
                <w:sz w:val="20"/>
                <w:szCs w:val="20"/>
                <w:color w:val="auto"/>
              </w:rPr>
            </w:pPr>
            <w:r>
              <w:rPr>
                <w:rFonts w:ascii="Arial" w:cs="Arial" w:eastAsia="Arial" w:hAnsi="Arial"/>
                <w:sz w:val="18"/>
                <w:szCs w:val="18"/>
                <w:color w:val="auto"/>
              </w:rPr>
              <w:t>(3,599)</w:t>
            </w:r>
          </w:p>
        </w:tc>
        <w:tc>
          <w:tcPr>
            <w:tcW w:w="340" w:type="dxa"/>
            <w:vAlign w:val="bottom"/>
            <w:shd w:val="clear" w:color="auto" w:fill="D5E6F7"/>
          </w:tcPr>
          <w:p>
            <w:pPr>
              <w:spacing w:after="0"/>
              <w:rPr>
                <w:sz w:val="19"/>
                <w:szCs w:val="19"/>
                <w:color w:val="auto"/>
              </w:rPr>
            </w:pPr>
          </w:p>
        </w:tc>
        <w:tc>
          <w:tcPr>
            <w:tcW w:w="1500" w:type="dxa"/>
            <w:vAlign w:val="bottom"/>
            <w:gridSpan w:val="2"/>
            <w:shd w:val="clear" w:color="auto" w:fill="D5E6F7"/>
          </w:tcPr>
          <w:p>
            <w:pPr>
              <w:jc w:val="right"/>
              <w:ind w:right="260"/>
              <w:spacing w:after="0"/>
              <w:rPr>
                <w:sz w:val="20"/>
                <w:szCs w:val="20"/>
                <w:color w:val="auto"/>
              </w:rPr>
            </w:pPr>
            <w:r>
              <w:rPr>
                <w:rFonts w:ascii="Arial" w:cs="Arial" w:eastAsia="Arial" w:hAnsi="Arial"/>
                <w:sz w:val="18"/>
                <w:szCs w:val="18"/>
                <w:color w:val="auto"/>
              </w:rPr>
              <w:t>(3,911)</w:t>
            </w:r>
          </w:p>
        </w:tc>
        <w:tc>
          <w:tcPr>
            <w:tcW w:w="340" w:type="dxa"/>
            <w:vAlign w:val="bottom"/>
            <w:shd w:val="clear" w:color="auto" w:fill="D5E6F7"/>
          </w:tcPr>
          <w:p>
            <w:pPr>
              <w:spacing w:after="0"/>
              <w:rPr>
                <w:sz w:val="19"/>
                <w:szCs w:val="19"/>
                <w:color w:val="auto"/>
              </w:rPr>
            </w:pP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(4,089)</w:t>
            </w:r>
          </w:p>
        </w:tc>
      </w:tr>
      <w:tr>
        <w:trPr>
          <w:trHeight w:val="229"/>
        </w:trPr>
        <w:tc>
          <w:tcPr>
            <w:tcW w:w="594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Increase in deferred revenue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D5E6F7"/>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Borders>
              <w:bottom w:val="single" w:sz="8" w:color="D5E6F7"/>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D5E6F7"/>
            </w:tcBorders>
          </w:tcPr>
          <w:p>
            <w:pPr>
              <w:spacing w:after="0"/>
              <w:rPr>
                <w:sz w:val="19"/>
                <w:szCs w:val="19"/>
                <w:color w:val="auto"/>
              </w:rPr>
            </w:pPr>
          </w:p>
        </w:tc>
      </w:tr>
      <w:tr>
        <w:trPr>
          <w:trHeight w:val="223"/>
        </w:trPr>
        <w:tc>
          <w:tcPr>
            <w:tcW w:w="5940" w:type="dxa"/>
            <w:vAlign w:val="bottom"/>
            <w:shd w:val="clear" w:color="auto" w:fill="D5E6F7"/>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D5E6F7"/>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6,655</w:t>
            </w:r>
          </w:p>
        </w:tc>
        <w:tc>
          <w:tcPr>
            <w:tcW w:w="280" w:type="dxa"/>
            <w:vAlign w:val="bottom"/>
            <w:shd w:val="clear" w:color="auto" w:fill="D5E6F7"/>
          </w:tcPr>
          <w:p>
            <w:pPr>
              <w:spacing w:after="0"/>
              <w:rPr>
                <w:sz w:val="19"/>
                <w:szCs w:val="19"/>
                <w:color w:val="auto"/>
              </w:rPr>
            </w:pP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4,367</w:t>
            </w:r>
          </w:p>
        </w:tc>
        <w:tc>
          <w:tcPr>
            <w:tcW w:w="320" w:type="dxa"/>
            <w:vAlign w:val="bottom"/>
            <w:shd w:val="clear" w:color="auto" w:fill="D5E6F7"/>
          </w:tcPr>
          <w:p>
            <w:pPr>
              <w:spacing w:after="0"/>
              <w:rPr>
                <w:sz w:val="19"/>
                <w:szCs w:val="19"/>
                <w:color w:val="auto"/>
              </w:rPr>
            </w:pP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(7,564)</w:t>
            </w:r>
          </w:p>
        </w:tc>
      </w:tr>
      <w:tr>
        <w:trPr>
          <w:trHeight w:val="20"/>
        </w:trPr>
        <w:tc>
          <w:tcPr>
            <w:tcW w:w="5940" w:type="dxa"/>
            <w:vAlign w:val="bottom"/>
            <w:tcBorders>
              <w:top w:val="single" w:sz="8" w:color="D5E6F7"/>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5E6F7"/>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5E6F7"/>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6F7"/>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fiscal 2022, our net loss of $1.8 million included non-cash charges primarily related to stock-based compensation expense, operating lease expense and depreciation and amortization expense. Operating asset and liability changes for fiscal 2022 included:</w:t>
      </w:r>
    </w:p>
    <w:p>
      <w:pPr>
        <w:ind w:left="880" w:hanging="508"/>
        <w:spacing w:after="0" w:line="265"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$2.1 million in accounts receivable due to a higher volume of product shipments in the latter half of our fiscal fourth quarter and the timing of cash collections</w:t>
      </w:r>
    </w:p>
    <w:p>
      <w:pPr>
        <w:spacing w:after="0" w:line="1" w:lineRule="exact"/>
        <w:rPr>
          <w:rFonts w:ascii="Times New Roman" w:cs="Times New Roman" w:eastAsia="Times New Roman" w:hAnsi="Times New Roman"/>
          <w:sz w:val="18"/>
          <w:szCs w:val="18"/>
          <w:color w:val="auto"/>
        </w:rPr>
      </w:pPr>
    </w:p>
    <w:p>
      <w:pPr>
        <w:ind w:left="880" w:hanging="508"/>
        <w:spacing w:after="0" w:line="265"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$1.6 million in inventories to mitigate the risk of global supply chain disruptions caused by component shortages and longer lead times</w:t>
      </w:r>
    </w:p>
    <w:p>
      <w:pPr>
        <w:spacing w:after="0" w:line="1" w:lineRule="exact"/>
        <w:rPr>
          <w:rFonts w:ascii="Times New Roman" w:cs="Times New Roman" w:eastAsia="Times New Roman" w:hAnsi="Times New Roman"/>
          <w:sz w:val="18"/>
          <w:szCs w:val="18"/>
          <w:color w:val="auto"/>
        </w:rPr>
      </w:pPr>
    </w:p>
    <w:p>
      <w:pPr>
        <w:ind w:left="880" w:hanging="508"/>
        <w:spacing w:after="0" w:line="265"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$4.6 million in prepaid expenses and other current and non-current assets primarily due to the capitalization of sales commissions and the timing of payments</w:t>
      </w:r>
    </w:p>
    <w:p>
      <w:pPr>
        <w:spacing w:after="0" w:line="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$3.6 million in accounts payable, accrued expenses and other liabilities due to the timing of payments</w:t>
      </w:r>
    </w:p>
    <w:p>
      <w:pPr>
        <w:spacing w:after="0" w:line="1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Cash provided by operating activities for fiscal 2022 increased $2.3 million year-over-year, which primarily reflected a decrease in net loss as well as working capital impacts resulting from the timing of payments.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Investing Activities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used in investing activities was $4.9 million for fiscal 2022, which consisted of $17.5 million used for purchases of short-term investments and $4.2 million used for capital expenditures, offset in part by proceeds of $16.8 million from maturities and sales of short-term investments. Cash used by investing activities increased $5.1 million year-over-year, which reflected higher capital expenditures and lower net proceeds from short-term investments.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003A5D"/>
        </w:rPr>
        <w:t>Financing Activities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provided by financing activities was $0.6 million for fiscal 2022, which consisted of proceeds of $2.7 million from the issuance of common stock from our Employee Stock Purchase Plan (“ESPP”) and stock option exercises, largely offset by payments of $2.1 million related to shares repurchased for tax withholdings on vesting of restricted stock units (“RSUs”). Cash provided by financing activities decreased by $0.4 million year-over-year, which primarily reflected lower proceeds from stock option exercises.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Revolving Credit Facility</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2021, we entered into a credit and security agreement with certain banks that provided for a secured revolving credit facility under which we may borrow up to an aggregate of $25 million and, subject to certain conditions, may be increased to up to $45 million. We currently have no outstanding borrowings. See Note 12: Financing Arrangements of the accompanying notes of our consolidated financial statements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Contractual Obligations and Commitments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2022 and 2021, non-cancelable inventory purchase commitments to our contract manufacturers and other suppliers totaled approximately $19.4 million and $5.4 million, respectively. We have increased our purchase commitments during fiscal 2022 to mitigate supply disruptions caused by component shortages and longer lead times, as well as to secure our needs for new products.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we have a non-cancelable service agreement with a telecommunications provider that contains total annual minimum purchase commitments of $0.6 million between August 2021 and July 2022, $1.5 million between August 2022 and July 2023 and $2.5 million between August 2023 and July 2024.</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January 31, 2022, our total future expected payment obligations under non-cancelable operating leases with initial terms longer than one year were approximately $16.1 million. See Note 7: </w:t>
      </w:r>
      <w:r>
        <w:rPr>
          <w:rFonts w:ascii="Arial" w:cs="Arial" w:eastAsia="Arial" w:hAnsi="Arial"/>
          <w:sz w:val="18"/>
          <w:szCs w:val="18"/>
          <w:i w:val="1"/>
          <w:iCs w:val="1"/>
          <w:color w:val="auto"/>
        </w:rPr>
        <w:t>Operating Leases</w:t>
      </w:r>
      <w:r>
        <w:rPr>
          <w:rFonts w:ascii="Arial" w:cs="Arial" w:eastAsia="Arial" w:hAnsi="Arial"/>
          <w:sz w:val="18"/>
          <w:szCs w:val="18"/>
          <w:color w:val="auto"/>
        </w:rPr>
        <w:t xml:space="preserve"> in the notes to our consolidated financial statements for a table of contractual obligations, including payments due by period.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32"/>
          <w:szCs w:val="32"/>
          <w:b w:val="1"/>
          <w:bCs w:val="1"/>
          <w:color w:val="003A5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estimates and judgments that affect the reported amounts of assets, liabilities, revenue and expenses, cash flows and the related disclosures. We base our estimates on historical experience and on other assumptions we believe to be reasonable under the circumstances. Actual results could differ materially from these estimates. Note 2 to the notes to consolidated financial statements of this Form 10-K describes the significant accounting policies and methods used in the preparation of the consolidated financial statements. We believe that the accounting policies discussed below are critical to understanding our historical and future performance as these policies involve a greater degree of judgment and complexity.</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Revenue Recognition</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Subscription and services revenue is derived primarily from recurring subscription fees related to service plans such as Ooma Business, Ooma Residential and other communications services. Subscription revenue is generally recognized ratably over the contractual service term. Product and other revenue is primarily generated from the sale of on-premise devices and end-point devices, including shipping and handling fees for our direct customers. We recognize product and other revenue from sales to direct end-customers and channel partners at the point in time that control transfers which is typically when we deliver the product.</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contracts with customers typically contain multiple performance obligations that consist of communications services and related products. Judgment is required to properly identify the accounting units of multiple performance obligations and to determine the manner in which revenue should be allocated among the obligations. Individual performance obligations are accounted for separately if they are distinct. The contract transaction price is then allocated to the separate performance obligations on a relative stand-alone selling price (“SSP”) basis. We determine the SSP for our communications services based on observable historical stand-alone sales to customers, for which we require that a substantial majority of selling prices fall within a reasonably narrow pricing range. We determine the SSP for our on-premise devices and end-point devices based upon our best estimates and judgments, considering company-specific factors such as pricing strategies, discounting practices, and estimated product and other costs. The determination of SSP is made through consultation with and approval by our management. As our business offerings evolve over time, we may be required to modify our estimated selling prices in subsequent periods, and the timing of our revenue recognition could be affected.</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distribution agreements with channel partners typically contain clauses for price protection and right of return. We record reductions to revenue for estimated product returns from end users and customer sales incentives at the time the related revenue is recognized. Product returns and customer sales incentives are estimated based on our historical experience, current trends and expectations regarding future experience. Trends are influenced by product life cycles, new product introductions, market acceptance of products, the type of customer, seasonality and other factors. Product return and sales incentive rates may fluctuate over time but are sufficiently predictable to allow our management to estimate expected future amounts. If actual future returns and sales incentives differ from past experience, additional reserves may be required. To date, actual results have not been materially different from our estimates.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Inventories</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Inventories consist of raw materials and finished goods and are stated at the lower of actual cost and net realizable value on a first-in, first-out basis. At each balance sheet date, we determine excess or obsolete inventory write-downs based on multiple factors, including: forecast demand for our products within a specified time horizon, generally 12 months, product acceptance and competitiveness in the marketplace, product life cycles, product development plans, and current and historical sales levels. Inventory write-downs for excess and obsolete inventory are recorded in cost of goods sold within the consolidated statement of operations during the period in which such write-downs are determined as necessary by management. If actual future demand or market conditions are less favorable than those projected by management, additional inventory write-downs may be required. This would have a negative impact on our gross margin in that period. If in any period we are able to sell inventories that were not valued or that had been written down in a previous period, related revenues would be recorded without any offsetting charge to cost of sales resulting in a net benefit to our gross margin in that period. Overall, our estimates of inventory carrying value adjustments have been materially consistent with actual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Interest Rates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exposure to market risk for changes in interest rates primarily relates to our cash and cash equivalents and short-term investments. Our cash equivalents and investments are held in money market funds, U.S. treasury securities, U.S. agency debt securities, commercial papers, corporate debt securities and asset-backed securities. Due to the short-term nature of these instruments, we do not believe that an immediate 10% shift in interest rates would have a material effect on the fair value of our investment portfolio. We did not have any debt as of January 31, 2022 and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Foreign Currencies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our revenue has been primarily denominated in U.S. dollars with a small portion denominated in Canadian dollars. As a result, some of our revenue is subject to fluctuations due to changes in the Canadian dollar relative to the U.S. dollar. Substantially all of our operating expenses have been denominated in U.S. dollars. The functional currency for all of our entities is the U.S. dollar. To date, gains and losses from foreign currency transactions have not been material to our consolidated financial statements, and we have not engaged in any foreign currency hedging transactions. A hypothetical 10% increase or decrease in overall foreign currency rates would not have had a material impact on our consolidated financial statements. As our international operations grow, we will continue to reassess our approach to managing the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ITEM 8. Consolidated 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Index</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gridSpan w:val="8"/>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 xml:space="preserve">Report of Independent Registered Public Accounting Firm – KPMG LLP </w:t>
              </w:r>
            </w:hyperlink>
            <w:r>
              <w:rPr>
                <w:rFonts w:ascii="Arial" w:cs="Arial" w:eastAsia="Arial" w:hAnsi="Arial"/>
                <w:sz w:val="16"/>
                <w:szCs w:val="16"/>
                <w:color w:val="000000"/>
              </w:rPr>
              <w:t>(PCAOB</w:t>
            </w:r>
            <w:r>
              <w:rPr>
                <w:rFonts w:ascii="Arial" w:cs="Arial" w:eastAsia="Arial" w:hAnsi="Arial"/>
                <w:sz w:val="16"/>
                <w:szCs w:val="16"/>
                <w:color w:val="0000EE"/>
              </w:rPr>
              <w:t xml:space="preserve"> </w:t>
            </w:r>
            <w:r>
              <w:rPr>
                <w:rFonts w:ascii="Arial" w:cs="Arial" w:eastAsia="Arial" w:hAnsi="Arial"/>
                <w:sz w:val="16"/>
                <w:szCs w:val="16"/>
                <w:color w:val="000000"/>
              </w:rPr>
              <w:t>ID No.185)</w:t>
            </w:r>
          </w:p>
        </w:tc>
        <w:tc>
          <w:tcPr>
            <w:tcW w:w="20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2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99"/>
        </w:trPr>
        <w:tc>
          <w:tcPr>
            <w:tcW w:w="9220" w:type="dxa"/>
            <w:vAlign w:val="bottom"/>
            <w:gridSpan w:val="8"/>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 xml:space="preserve">Report of Independent Registered Public Accounting Firm – Deloitte &amp; Touche LLP </w:t>
              </w:r>
            </w:hyperlink>
            <w:r>
              <w:rPr>
                <w:rFonts w:ascii="Arial" w:cs="Arial" w:eastAsia="Arial" w:hAnsi="Arial"/>
                <w:sz w:val="16"/>
                <w:szCs w:val="16"/>
                <w:color w:val="000000"/>
              </w:rPr>
              <w:t>(PCAOB</w:t>
            </w:r>
            <w:r>
              <w:rPr>
                <w:rFonts w:ascii="Arial" w:cs="Arial" w:eastAsia="Arial" w:hAnsi="Arial"/>
                <w:sz w:val="16"/>
                <w:szCs w:val="16"/>
                <w:color w:val="0000EE"/>
              </w:rPr>
              <w:t xml:space="preserve"> </w:t>
            </w:r>
            <w:r>
              <w:rPr>
                <w:rFonts w:ascii="Arial" w:cs="Arial" w:eastAsia="Arial" w:hAnsi="Arial"/>
                <w:sz w:val="16"/>
                <w:szCs w:val="16"/>
                <w:color w:val="000000"/>
              </w:rPr>
              <w:t>ID No. 34)</w:t>
            </w:r>
          </w:p>
        </w:tc>
        <w:tc>
          <w:tcPr>
            <w:tcW w:w="20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12"/>
        </w:trPr>
        <w:tc>
          <w:tcPr>
            <w:tcW w:w="2140" w:type="dxa"/>
            <w:vAlign w:val="bottom"/>
            <w:tcBorders>
              <w:top w:val="single" w:sz="8" w:color="0000EE"/>
              <w:bottom w:val="single" w:sz="8" w:color="0000EE"/>
            </w:tcBorders>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Consolidated Balance Sheets</w:t>
              </w:r>
            </w:hyperlink>
          </w:p>
        </w:tc>
        <w:tc>
          <w:tcPr>
            <w:tcW w:w="3800" w:type="dxa"/>
            <w:vAlign w:val="bottom"/>
            <w:tcBorders>
              <w:top w:val="single" w:sz="8" w:color="0000EE"/>
            </w:tcBorders>
            <w:gridSpan w:val="6"/>
          </w:tcPr>
          <w:p>
            <w:pPr>
              <w:spacing w:after="0"/>
              <w:rPr>
                <w:sz w:val="24"/>
                <w:szCs w:val="24"/>
                <w:color w:val="auto"/>
              </w:rPr>
            </w:pPr>
          </w:p>
        </w:tc>
        <w:tc>
          <w:tcPr>
            <w:tcW w:w="3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98"/>
        </w:trPr>
        <w:tc>
          <w:tcPr>
            <w:tcW w:w="2840" w:type="dxa"/>
            <w:vAlign w:val="bottom"/>
            <w:tcBorders>
              <w:bottom w:val="single" w:sz="8" w:color="0000EE"/>
            </w:tcBorders>
            <w:gridSpan w:val="2"/>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Consolidated Statements of Operations</w:t>
              </w:r>
            </w:hyperlink>
          </w:p>
        </w:tc>
        <w:tc>
          <w:tcPr>
            <w:tcW w:w="6380" w:type="dxa"/>
            <w:vAlign w:val="bottom"/>
            <w:gridSpan w:val="6"/>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412"/>
        </w:trPr>
        <w:tc>
          <w:tcPr>
            <w:tcW w:w="3520" w:type="dxa"/>
            <w:vAlign w:val="bottom"/>
            <w:tcBorders>
              <w:bottom w:val="single" w:sz="8" w:color="0000EE"/>
            </w:tcBorders>
            <w:gridSpan w:val="5"/>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Consolidated Statements of Stockholders’ Equity</w:t>
              </w:r>
            </w:hyperlink>
          </w:p>
        </w:tc>
        <w:tc>
          <w:tcPr>
            <w:tcW w:w="570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98"/>
        </w:trPr>
        <w:tc>
          <w:tcPr>
            <w:tcW w:w="9220" w:type="dxa"/>
            <w:vAlign w:val="bottom"/>
            <w:gridSpan w:val="8"/>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Consolidated Statements of Cash Flows</w:t>
              </w:r>
            </w:hyperlink>
          </w:p>
        </w:tc>
        <w:tc>
          <w:tcPr>
            <w:tcW w:w="20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98"/>
        </w:trPr>
        <w:tc>
          <w:tcPr>
            <w:tcW w:w="3160" w:type="dxa"/>
            <w:vAlign w:val="bottom"/>
            <w:tcBorders>
              <w:bottom w:val="single" w:sz="8" w:color="0000EE"/>
            </w:tcBorders>
            <w:gridSpan w:val="4"/>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Notes to Consolidated Financial Statements</w:t>
              </w:r>
            </w:hyperlink>
          </w:p>
        </w:tc>
        <w:tc>
          <w:tcPr>
            <w:tcW w:w="606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Ooma, Inc.: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audited the accompanying consolidated balance sheet of Ooma, Inc. and subsidiaries (the Company) as of January 31, 2022, the related consolidated statement of operations, stockholders’ equity, and cash flows for the year ended January 31, 2022, and the related notes (collectively, the consolidated financial statements). We also have audited the Company’s internal control over financial reporting as of January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2022, and the results of its operations and its cash flows for the year ended January 31, 2022, in conformity with U.S. generally accepted accounting principles. Also in our opinion, the Company maintained, in all material respects, effective internal control over financial reporting as of January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Critical Audit Matter</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Sufficiency of audit evidence over subscription revenue</w:t>
      </w:r>
    </w:p>
    <w:p>
      <w:pPr>
        <w:spacing w:after="0" w:line="102"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As discussed in Note 2 to the consolidated financial statements, the Company derives its revenue from subscription and services revenue as well as product and other revenue. The Company’s subscription revenue recognition process is automated and revenue is recorded through reliance on customized and proprietary information technology (IT) systems. The Company recorded $175.9 million of subscription and services revenue for the year ended January 31, 2022.</w:t>
      </w:r>
    </w:p>
    <w:p>
      <w:pPr>
        <w:spacing w:after="0" w:line="66"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We identified the evaluation of the sufficiency of audit evidence over certain subscription revenue as a critical audit matter. This matter required especially subjective auditor judgment because the revenue recognition process is automated and reliant upon complex IT systems. Involvement of IT professionals with specialized skills and knowledge was required to assist with the performance of certain procedures and the determination of IT systems subject to testing.</w:t>
      </w:r>
    </w:p>
    <w:p>
      <w:pPr>
        <w:spacing w:after="0" w:line="66"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subscription revenue, including the determination of the IT systems subject to testing. We evaluated the design and tested the operating effectiveness of certain internal controls related to the Company's subscription revenue process. We involved IT professionals with specialized skills and knowledge, who assisted in testing certain IT general and application controls that are used by the Company in its subscription revenue recognition process. We assessed the recorded subscription revenue by comparing revenue to underlying cash receipts. We evaluated the sufficiency of audit evidence obtained by assessing the results of procedures performed, including the appropriateness of such evidence.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1" w:name="page62"/>
    <w:bookmarkEnd w:id="61"/>
    <w:p>
      <w:pPr>
        <w:ind w:right="5140"/>
        <w:spacing w:after="0" w:line="41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Ooma, Inc. </w:t>
      </w:r>
      <w:r>
        <w:rPr>
          <w:rFonts w:ascii="Arial" w:cs="Arial" w:eastAsia="Arial" w:hAnsi="Arial"/>
          <w:sz w:val="18"/>
          <w:szCs w:val="18"/>
          <w:i w:val="1"/>
          <w:iCs w:val="1"/>
          <w:color w:val="auto"/>
        </w:rPr>
        <w:t>Opinion on the Financial Statements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audited the accompanying consolidated balance sheet of Ooma, Inc. and subsidiaries (the "Company") as of January 31, 2021, the related consolidated statements of operations, stockholders’ equity, and cash flows, for the years ended January 31, 2021 and 2020, and the related notes (collectively referred to as the "financial statements"). In our opinion, the financial statements present fairly, in all material respects, the financial position of the Company as of January 31, 2021, and the results of its operations and its cash flows for the years ended January 31, 2021 and 2020, in conformity with accounting principles generally accepted in the United States of America.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7, 2021 (April 8, 2022 as to the effects of the restatement discussed in Note 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2012. In 2021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OOMA,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A5D"/>
        </w:rPr>
        <w:t>CONSOLIDATED BALANCE SHEETS</w:t>
      </w: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8140" w:type="dxa"/>
            <w:vAlign w:val="bottom"/>
            <w:tcBorders>
              <w:bottom w:val="single" w:sz="8" w:color="D5E6F7"/>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5E6F7"/>
            </w:tcBorders>
          </w:tcPr>
          <w:p>
            <w:pPr>
              <w:spacing w:after="0"/>
              <w:rPr>
                <w:sz w:val="14"/>
                <w:szCs w:val="14"/>
                <w:color w:val="auto"/>
              </w:rPr>
            </w:pPr>
          </w:p>
        </w:tc>
        <w:tc>
          <w:tcPr>
            <w:tcW w:w="120" w:type="dxa"/>
            <w:vAlign w:val="bottom"/>
            <w:tcBorders>
              <w:bottom w:val="single" w:sz="8" w:color="D5E6F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5E6F7"/>
            </w:tcBorders>
          </w:tcPr>
          <w:p>
            <w:pPr>
              <w:spacing w:after="0"/>
              <w:rPr>
                <w:sz w:val="14"/>
                <w:szCs w:val="14"/>
                <w:color w:val="auto"/>
              </w:rPr>
            </w:pPr>
          </w:p>
        </w:tc>
      </w:tr>
      <w:tr>
        <w:trPr>
          <w:trHeight w:val="209"/>
        </w:trPr>
        <w:tc>
          <w:tcPr>
            <w:tcW w:w="814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19,667</w:t>
            </w:r>
          </w:p>
        </w:tc>
        <w:tc>
          <w:tcPr>
            <w:tcW w:w="160" w:type="dxa"/>
            <w:vAlign w:val="bottom"/>
            <w:shd w:val="clear" w:color="auto" w:fill="D5E6F7"/>
          </w:tcPr>
          <w:p>
            <w:pPr>
              <w:spacing w:after="0"/>
              <w:rPr>
                <w:sz w:val="18"/>
                <w:szCs w:val="18"/>
                <w:color w:val="auto"/>
              </w:rPr>
            </w:pPr>
          </w:p>
        </w:tc>
        <w:tc>
          <w:tcPr>
            <w:tcW w:w="320" w:type="dxa"/>
            <w:vAlign w:val="bottom"/>
            <w:gridSpan w:val="2"/>
            <w:shd w:val="clear" w:color="auto" w:fill="D5E6F7"/>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17,298</w:t>
            </w: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7,310</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D5E6F7"/>
          </w:tcPr>
          <w:p>
            <w:pPr>
              <w:spacing w:after="0"/>
              <w:rPr>
                <w:sz w:val="18"/>
                <w:szCs w:val="18"/>
                <w:color w:val="auto"/>
              </w:rPr>
            </w:pPr>
          </w:p>
        </w:tc>
        <w:tc>
          <w:tcPr>
            <w:tcW w:w="11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13,598</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tcBorders>
              <w:bottom w:val="single" w:sz="8" w:color="auto"/>
            </w:tcBorders>
            <w:shd w:val="clear" w:color="auto" w:fill="D5E6F7"/>
          </w:tcPr>
          <w:p>
            <w:pPr>
              <w:spacing w:after="0"/>
              <w:rPr>
                <w:sz w:val="18"/>
                <w:szCs w:val="18"/>
                <w:color w:val="auto"/>
              </w:rPr>
            </w:pP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shd w:val="clear" w:color="auto" w:fill="D5E6F7"/>
          </w:tcPr>
          <w:p>
            <w:pPr>
              <w:spacing w:after="0"/>
              <w:rPr>
                <w:sz w:val="18"/>
                <w:szCs w:val="18"/>
                <w:color w:val="auto"/>
              </w:rPr>
            </w:pPr>
          </w:p>
        </w:tc>
      </w:tr>
      <w:tr>
        <w:trPr>
          <w:trHeight w:val="210"/>
        </w:trPr>
        <w:tc>
          <w:tcPr>
            <w:tcW w:w="81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55,994</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6,481</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5,071</w:t>
            </w: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4,208</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D5E6F7"/>
          </w:tcPr>
          <w:p>
            <w:pPr>
              <w:spacing w:after="0"/>
              <w:rPr>
                <w:sz w:val="18"/>
                <w:szCs w:val="18"/>
                <w:color w:val="auto"/>
              </w:rPr>
            </w:pPr>
          </w:p>
        </w:tc>
        <w:tc>
          <w:tcPr>
            <w:tcW w:w="11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13,875</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tcBorders>
              <w:bottom w:val="single" w:sz="8" w:color="auto"/>
            </w:tcBorders>
            <w:shd w:val="clear" w:color="auto" w:fill="D5E6F7"/>
          </w:tcPr>
          <w:p>
            <w:pPr>
              <w:spacing w:after="0"/>
              <w:rPr>
                <w:sz w:val="18"/>
                <w:szCs w:val="18"/>
                <w:color w:val="auto"/>
              </w:rPr>
            </w:pP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shd w:val="clear" w:color="auto" w:fill="D5E6F7"/>
          </w:tcPr>
          <w:p>
            <w:pPr>
              <w:spacing w:after="0"/>
              <w:rPr>
                <w:sz w:val="18"/>
                <w:szCs w:val="18"/>
                <w:color w:val="auto"/>
              </w:rPr>
            </w:pPr>
          </w:p>
        </w:tc>
      </w:tr>
      <w:tr>
        <w:trPr>
          <w:trHeight w:val="249"/>
        </w:trPr>
        <w:tc>
          <w:tcPr>
            <w:tcW w:w="814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109,253</w:t>
            </w:r>
          </w:p>
        </w:tc>
        <w:tc>
          <w:tcPr>
            <w:tcW w:w="160" w:type="dxa"/>
            <w:vAlign w:val="bottom"/>
            <w:tcBorders>
              <w:bottom w:val="single" w:sz="8" w:color="D5E6F7"/>
            </w:tcBorders>
          </w:tcPr>
          <w:p>
            <w:pPr>
              <w:spacing w:after="0"/>
              <w:rPr>
                <w:sz w:val="21"/>
                <w:szCs w:val="21"/>
                <w:color w:val="auto"/>
              </w:rPr>
            </w:pPr>
          </w:p>
        </w:tc>
        <w:tc>
          <w:tcPr>
            <w:tcW w:w="120" w:type="dxa"/>
            <w:vAlign w:val="bottom"/>
            <w:tcBorders>
              <w:bottom w:val="single" w:sz="8" w:color="D5E6F7"/>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89,097</w:t>
            </w:r>
          </w:p>
        </w:tc>
        <w:tc>
          <w:tcPr>
            <w:tcW w:w="100" w:type="dxa"/>
            <w:vAlign w:val="bottom"/>
            <w:tcBorders>
              <w:bottom w:val="single" w:sz="8" w:color="D5E6F7"/>
            </w:tcBorders>
          </w:tcPr>
          <w:p>
            <w:pPr>
              <w:spacing w:after="0"/>
              <w:rPr>
                <w:sz w:val="21"/>
                <w:szCs w:val="21"/>
                <w:color w:val="auto"/>
              </w:rPr>
            </w:pPr>
          </w:p>
        </w:tc>
      </w:tr>
      <w:tr>
        <w:trPr>
          <w:trHeight w:val="197"/>
        </w:trPr>
        <w:tc>
          <w:tcPr>
            <w:tcW w:w="814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14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120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7,507</w:t>
            </w:r>
          </w:p>
        </w:tc>
        <w:tc>
          <w:tcPr>
            <w:tcW w:w="16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22,823</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22,731</w:t>
            </w: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160" w:type="dxa"/>
            <w:vAlign w:val="bottom"/>
            <w:tcBorders>
              <w:bottom w:val="single" w:sz="8" w:color="D5E6F7"/>
            </w:tcBorders>
          </w:tcPr>
          <w:p>
            <w:pPr>
              <w:spacing w:after="0"/>
              <w:rPr>
                <w:sz w:val="18"/>
                <w:szCs w:val="18"/>
                <w:color w:val="auto"/>
              </w:rPr>
            </w:pPr>
          </w:p>
        </w:tc>
        <w:tc>
          <w:tcPr>
            <w:tcW w:w="120" w:type="dxa"/>
            <w:vAlign w:val="bottom"/>
            <w:tcBorders>
              <w:bottom w:val="single" w:sz="8" w:color="D5E6F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tcBorders>
              <w:bottom w:val="single" w:sz="8" w:color="D5E6F7"/>
            </w:tcBorders>
          </w:tcPr>
          <w:p>
            <w:pPr>
              <w:spacing w:after="0"/>
              <w:rPr>
                <w:sz w:val="18"/>
                <w:szCs w:val="18"/>
                <w:color w:val="auto"/>
              </w:rPr>
            </w:pPr>
          </w:p>
        </w:tc>
      </w:tr>
      <w:tr>
        <w:trPr>
          <w:trHeight w:val="209"/>
        </w:trPr>
        <w:tc>
          <w:tcPr>
            <w:tcW w:w="8140" w:type="dxa"/>
            <w:vAlign w:val="bottom"/>
            <w:shd w:val="clear" w:color="auto" w:fill="D5E6F7"/>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46,930</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46,656</w:t>
            </w: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D5E6F7"/>
          </w:tcPr>
          <w:p>
            <w:pPr>
              <w:spacing w:after="0"/>
              <w:rPr>
                <w:sz w:val="18"/>
                <w:szCs w:val="18"/>
                <w:color w:val="auto"/>
              </w:rPr>
            </w:pPr>
          </w:p>
        </w:tc>
        <w:tc>
          <w:tcPr>
            <w:tcW w:w="11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tcBorders>
              <w:bottom w:val="single" w:sz="8" w:color="auto"/>
            </w:tcBorders>
            <w:shd w:val="clear" w:color="auto" w:fill="D5E6F7"/>
          </w:tcPr>
          <w:p>
            <w:pPr>
              <w:spacing w:after="0"/>
              <w:rPr>
                <w:sz w:val="18"/>
                <w:szCs w:val="18"/>
                <w:color w:val="auto"/>
              </w:rPr>
            </w:pP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D5E6F7"/>
          </w:tcPr>
          <w:p>
            <w:pPr>
              <w:spacing w:after="0"/>
              <w:rPr>
                <w:sz w:val="18"/>
                <w:szCs w:val="18"/>
                <w:color w:val="auto"/>
              </w:rPr>
            </w:pPr>
          </w:p>
        </w:tc>
      </w:tr>
      <w:tr>
        <w:trPr>
          <w:trHeight w:val="209"/>
        </w:trPr>
        <w:tc>
          <w:tcPr>
            <w:tcW w:w="8140" w:type="dxa"/>
            <w:vAlign w:val="bottom"/>
            <w:tcBorders>
              <w:bottom w:val="single" w:sz="8" w:color="D5E6F7"/>
            </w:tcBorders>
          </w:tcPr>
          <w:p>
            <w:pPr>
              <w:ind w:left="2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w:t>
            </w:r>
          </w:p>
        </w:tc>
        <w:tc>
          <w:tcPr>
            <w:tcW w:w="160" w:type="dxa"/>
            <w:vAlign w:val="bottom"/>
            <w:tcBorders>
              <w:bottom w:val="single" w:sz="8" w:color="D5E6F7"/>
            </w:tcBorders>
          </w:tcPr>
          <w:p>
            <w:pPr>
              <w:spacing w:after="0"/>
              <w:rPr>
                <w:sz w:val="18"/>
                <w:szCs w:val="18"/>
                <w:color w:val="auto"/>
              </w:rPr>
            </w:pPr>
          </w:p>
        </w:tc>
        <w:tc>
          <w:tcPr>
            <w:tcW w:w="120" w:type="dxa"/>
            <w:vAlign w:val="bottom"/>
            <w:tcBorders>
              <w:bottom w:val="single" w:sz="8" w:color="D5E6F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49,546</w:t>
            </w:r>
          </w:p>
        </w:tc>
        <w:tc>
          <w:tcPr>
            <w:tcW w:w="100" w:type="dxa"/>
            <w:vAlign w:val="bottom"/>
            <w:tcBorders>
              <w:bottom w:val="single" w:sz="8" w:color="D5E6F7"/>
            </w:tcBorders>
          </w:tcPr>
          <w:p>
            <w:pPr>
              <w:spacing w:after="0"/>
              <w:rPr>
                <w:sz w:val="18"/>
                <w:szCs w:val="18"/>
                <w:color w:val="auto"/>
              </w:rPr>
            </w:pPr>
          </w:p>
        </w:tc>
      </w:tr>
      <w:tr>
        <w:trPr>
          <w:trHeight w:val="210"/>
        </w:trPr>
        <w:tc>
          <w:tcPr>
            <w:tcW w:w="8140" w:type="dxa"/>
            <w:vAlign w:val="bottom"/>
            <w:shd w:val="clear" w:color="auto" w:fill="D5E6F7"/>
          </w:tcPr>
          <w:p>
            <w:pPr>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Preferred stock $0.0001 par value: 10 million shares authorized; none issued and outstanding</w:t>
            </w:r>
          </w:p>
        </w:tc>
        <w:tc>
          <w:tcPr>
            <w:tcW w:w="18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8140" w:type="dxa"/>
            <w:vAlign w:val="bottom"/>
          </w:tcPr>
          <w:p>
            <w:pPr>
              <w:ind w:left="140"/>
              <w:spacing w:after="0" w:line="197" w:lineRule="exact"/>
              <w:rPr>
                <w:sz w:val="20"/>
                <w:szCs w:val="20"/>
                <w:color w:val="auto"/>
              </w:rPr>
            </w:pPr>
            <w:r>
              <w:rPr>
                <w:rFonts w:ascii="Arial" w:cs="Arial" w:eastAsia="Arial" w:hAnsi="Arial"/>
                <w:sz w:val="18"/>
                <w:szCs w:val="18"/>
                <w:color w:val="auto"/>
              </w:rPr>
              <w:t>Common stock $0.0001 par value: 100 million shares authorized; 23.9 million and 22.9 million</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14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8140" w:type="dxa"/>
            <w:vAlign w:val="bottom"/>
            <w:shd w:val="clear" w:color="auto" w:fill="D5E6F7"/>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D5E6F7"/>
          </w:tcPr>
          <w:p>
            <w:pPr>
              <w:spacing w:after="0"/>
              <w:rPr>
                <w:sz w:val="18"/>
                <w:szCs w:val="18"/>
                <w:color w:val="auto"/>
              </w:rPr>
            </w:pPr>
          </w:p>
        </w:tc>
        <w:tc>
          <w:tcPr>
            <w:tcW w:w="11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179,860</w:t>
            </w:r>
          </w:p>
        </w:tc>
        <w:tc>
          <w:tcPr>
            <w:tcW w:w="1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166,577</w:t>
            </w:r>
          </w:p>
        </w:tc>
        <w:tc>
          <w:tcPr>
            <w:tcW w:w="100" w:type="dxa"/>
            <w:vAlign w:val="bottom"/>
            <w:shd w:val="clear" w:color="auto" w:fill="D5E6F7"/>
          </w:tcPr>
          <w:p>
            <w:pPr>
              <w:spacing w:after="0"/>
              <w:rPr>
                <w:sz w:val="18"/>
                <w:szCs w:val="18"/>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8140" w:type="dxa"/>
            <w:vAlign w:val="bottom"/>
            <w:shd w:val="clear" w:color="auto" w:fill="D5E6F7"/>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100"/>
              <w:spacing w:after="0"/>
              <w:rPr>
                <w:sz w:val="20"/>
                <w:szCs w:val="20"/>
                <w:color w:val="auto"/>
              </w:rPr>
            </w:pPr>
            <w:r>
              <w:rPr>
                <w:rFonts w:ascii="Arial" w:cs="Arial" w:eastAsia="Arial" w:hAnsi="Arial"/>
                <w:sz w:val="18"/>
                <w:szCs w:val="18"/>
                <w:color w:val="auto"/>
              </w:rPr>
              <w:t>(128,788)</w:t>
            </w:r>
          </w:p>
        </w:tc>
        <w:tc>
          <w:tcPr>
            <w:tcW w:w="1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(127,037)</w:t>
            </w:r>
          </w:p>
        </w:tc>
      </w:tr>
      <w:tr>
        <w:trPr>
          <w:trHeight w:val="210"/>
        </w:trPr>
        <w:tc>
          <w:tcPr>
            <w:tcW w:w="8140" w:type="dxa"/>
            <w:vAlign w:val="bottom"/>
            <w:tcBorders>
              <w:bottom w:val="single" w:sz="8" w:color="D5E6F7"/>
            </w:tcBorders>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51,056</w:t>
            </w:r>
          </w:p>
        </w:tc>
        <w:tc>
          <w:tcPr>
            <w:tcW w:w="160" w:type="dxa"/>
            <w:vAlign w:val="bottom"/>
            <w:tcBorders>
              <w:bottom w:val="single" w:sz="8" w:color="D5E6F7"/>
            </w:tcBorders>
          </w:tcPr>
          <w:p>
            <w:pPr>
              <w:spacing w:after="0"/>
              <w:rPr>
                <w:sz w:val="18"/>
                <w:szCs w:val="18"/>
                <w:color w:val="auto"/>
              </w:rPr>
            </w:pPr>
          </w:p>
        </w:tc>
        <w:tc>
          <w:tcPr>
            <w:tcW w:w="120" w:type="dxa"/>
            <w:vAlign w:val="bottom"/>
            <w:tcBorders>
              <w:bottom w:val="single" w:sz="8" w:color="D5E6F7"/>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39,551</w:t>
            </w:r>
          </w:p>
        </w:tc>
        <w:tc>
          <w:tcPr>
            <w:tcW w:w="100" w:type="dxa"/>
            <w:vAlign w:val="bottom"/>
            <w:tcBorders>
              <w:bottom w:val="single" w:sz="8" w:color="D5E6F7"/>
            </w:tcBorders>
          </w:tcPr>
          <w:p>
            <w:pPr>
              <w:spacing w:after="0"/>
              <w:rPr>
                <w:sz w:val="18"/>
                <w:szCs w:val="18"/>
                <w:color w:val="auto"/>
              </w:rPr>
            </w:pPr>
          </w:p>
        </w:tc>
      </w:tr>
      <w:tr>
        <w:trPr>
          <w:trHeight w:val="210"/>
        </w:trPr>
        <w:tc>
          <w:tcPr>
            <w:tcW w:w="8140" w:type="dxa"/>
            <w:vAlign w:val="bottom"/>
            <w:tcBorders>
              <w:bottom w:val="single" w:sz="8" w:color="D5E6F7"/>
            </w:tcBorders>
            <w:shd w:val="clear" w:color="auto" w:fill="D5E6F7"/>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109,253</w:t>
            </w:r>
          </w:p>
        </w:tc>
        <w:tc>
          <w:tcPr>
            <w:tcW w:w="160" w:type="dxa"/>
            <w:vAlign w:val="bottom"/>
            <w:tcBorders>
              <w:bottom w:val="single" w:sz="8" w:color="D5E6F7"/>
            </w:tcBorders>
            <w:shd w:val="clear" w:color="auto" w:fill="D5E6F7"/>
          </w:tcPr>
          <w:p>
            <w:pPr>
              <w:spacing w:after="0"/>
              <w:rPr>
                <w:sz w:val="18"/>
                <w:szCs w:val="18"/>
                <w:color w:val="auto"/>
              </w:rPr>
            </w:pPr>
          </w:p>
        </w:tc>
        <w:tc>
          <w:tcPr>
            <w:tcW w:w="120" w:type="dxa"/>
            <w:vAlign w:val="bottom"/>
            <w:tcBorders>
              <w:bottom w:val="single" w:sz="8" w:color="D5E6F7"/>
            </w:tcBorders>
            <w:shd w:val="clear" w:color="auto" w:fill="D5E6F7"/>
          </w:tcPr>
          <w:p>
            <w:pPr>
              <w:spacing w:after="0"/>
              <w:rPr>
                <w:sz w:val="18"/>
                <w:szCs w:val="18"/>
                <w:color w:val="auto"/>
              </w:rPr>
            </w:pPr>
          </w:p>
        </w:tc>
        <w:tc>
          <w:tcPr>
            <w:tcW w:w="200" w:type="dxa"/>
            <w:vAlign w:val="bottom"/>
            <w:tcBorders>
              <w:bottom w:val="single" w:sz="8" w:color="auto"/>
            </w:tcBorders>
            <w:shd w:val="clear" w:color="auto" w:fill="D5E6F7"/>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89,097</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OOMA,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A5D"/>
        </w:rPr>
        <w:t>CONSOLIDATED STATEMENTS OF OPERATIONS</w:t>
      </w:r>
    </w:p>
    <w:p>
      <w:pPr>
        <w:jc w:val="center"/>
        <w:spacing w:after="0"/>
        <w:rPr>
          <w:sz w:val="20"/>
          <w:szCs w:val="20"/>
          <w:color w:val="auto"/>
        </w:rPr>
      </w:pPr>
      <w:r>
        <w:rPr>
          <w:rFonts w:ascii="Arial" w:cs="Arial" w:eastAsia="Arial" w:hAnsi="Arial"/>
          <w:sz w:val="16"/>
          <w:szCs w:val="16"/>
          <w:b w:val="1"/>
          <w:bCs w:val="1"/>
          <w:color w:val="auto"/>
        </w:rPr>
        <w:t>(Amounts in thousands, except shares and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480" w:type="dxa"/>
            <w:vAlign w:val="bottom"/>
            <w:tcBorders>
              <w:bottom w:val="single" w:sz="8" w:color="D5E6F7"/>
            </w:tcBorders>
          </w:tcPr>
          <w:p>
            <w:pPr>
              <w:spacing w:after="0"/>
              <w:rPr>
                <w:sz w:val="14"/>
                <w:szCs w:val="14"/>
                <w:color w:val="auto"/>
              </w:rPr>
            </w:pPr>
          </w:p>
        </w:tc>
        <w:tc>
          <w:tcPr>
            <w:tcW w:w="960" w:type="dxa"/>
            <w:vAlign w:val="bottom"/>
            <w:tcBorders>
              <w:bottom w:val="single" w:sz="8" w:color="D5E6F7"/>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5E6F7"/>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D5E6F7"/>
            </w:tcBorders>
          </w:tcPr>
          <w:p>
            <w:pPr>
              <w:spacing w:after="0"/>
              <w:rPr>
                <w:sz w:val="14"/>
                <w:szCs w:val="14"/>
                <w:color w:val="auto"/>
              </w:rPr>
            </w:pPr>
          </w:p>
        </w:tc>
        <w:tc>
          <w:tcPr>
            <w:tcW w:w="80" w:type="dxa"/>
            <w:vAlign w:val="bottom"/>
            <w:tcBorders>
              <w:bottom w:val="single" w:sz="8" w:color="D5E6F7"/>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4"/>
                <w:szCs w:val="14"/>
                <w:color w:val="auto"/>
              </w:rPr>
            </w:pPr>
          </w:p>
        </w:tc>
      </w:tr>
      <w:tr>
        <w:trPr>
          <w:trHeight w:val="209"/>
        </w:trPr>
        <w:tc>
          <w:tcPr>
            <w:tcW w:w="548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Subscription and services</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175,942</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156,873</w:t>
            </w:r>
          </w:p>
        </w:tc>
        <w:tc>
          <w:tcPr>
            <w:tcW w:w="14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139,499</w:t>
            </w:r>
          </w:p>
        </w:tc>
        <w:tc>
          <w:tcPr>
            <w:tcW w:w="100" w:type="dxa"/>
            <w:vAlign w:val="bottom"/>
          </w:tcPr>
          <w:p>
            <w:pPr>
              <w:spacing w:after="0"/>
              <w:rPr>
                <w:sz w:val="18"/>
                <w:szCs w:val="18"/>
                <w:color w:val="auto"/>
              </w:rPr>
            </w:pPr>
          </w:p>
        </w:tc>
      </w:tr>
      <w:tr>
        <w:trPr>
          <w:trHeight w:val="216"/>
        </w:trPr>
        <w:tc>
          <w:tcPr>
            <w:tcW w:w="5480" w:type="dxa"/>
            <w:vAlign w:val="bottom"/>
            <w:shd w:val="clear" w:color="auto" w:fill="D5E6F7"/>
          </w:tcPr>
          <w:p>
            <w:pPr>
              <w:ind w:left="140"/>
              <w:spacing w:after="0"/>
              <w:rPr>
                <w:sz w:val="20"/>
                <w:szCs w:val="20"/>
                <w:color w:val="auto"/>
              </w:rPr>
            </w:pPr>
            <w:r>
              <w:rPr>
                <w:rFonts w:ascii="Arial" w:cs="Arial" w:eastAsia="Arial" w:hAnsi="Arial"/>
                <w:sz w:val="18"/>
                <w:szCs w:val="18"/>
                <w:color w:val="auto"/>
              </w:rPr>
              <w:t>Product and other</w:t>
            </w:r>
          </w:p>
        </w:tc>
        <w:tc>
          <w:tcPr>
            <w:tcW w:w="96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16,348</w:t>
            </w:r>
          </w:p>
        </w:tc>
        <w:tc>
          <w:tcPr>
            <w:tcW w:w="22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12,074</w:t>
            </w: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12,094</w:t>
            </w:r>
          </w:p>
        </w:tc>
        <w:tc>
          <w:tcPr>
            <w:tcW w:w="100" w:type="dxa"/>
            <w:vAlign w:val="bottom"/>
            <w:shd w:val="clear" w:color="auto" w:fill="D5E6F7"/>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192,290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151,593</w:t>
            </w:r>
          </w:p>
        </w:tc>
        <w:tc>
          <w:tcPr>
            <w:tcW w:w="100" w:type="dxa"/>
            <w:vAlign w:val="bottom"/>
          </w:tcPr>
          <w:p>
            <w:pPr>
              <w:spacing w:after="0"/>
              <w:rPr>
                <w:sz w:val="18"/>
                <w:szCs w:val="18"/>
                <w:color w:val="auto"/>
              </w:rPr>
            </w:pPr>
          </w:p>
        </w:tc>
      </w:tr>
      <w:tr>
        <w:trPr>
          <w:trHeight w:val="216"/>
        </w:trPr>
        <w:tc>
          <w:tcPr>
            <w:tcW w:w="548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D5E6F7"/>
          </w:tcPr>
          <w:p>
            <w:pPr>
              <w:ind w:left="140"/>
              <w:spacing w:after="0"/>
              <w:rPr>
                <w:sz w:val="20"/>
                <w:szCs w:val="20"/>
                <w:color w:val="auto"/>
              </w:rPr>
            </w:pPr>
            <w:r>
              <w:rPr>
                <w:rFonts w:ascii="Arial" w:cs="Arial" w:eastAsia="Arial" w:hAnsi="Arial"/>
                <w:sz w:val="18"/>
                <w:szCs w:val="18"/>
                <w:color w:val="auto"/>
              </w:rPr>
              <w:t>Subscription and services</w:t>
            </w: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49,563</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46,134</w:t>
            </w: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43,748</w:t>
            </w:r>
          </w:p>
        </w:tc>
        <w:tc>
          <w:tcPr>
            <w:tcW w:w="100" w:type="dxa"/>
            <w:vAlign w:val="bottom"/>
            <w:shd w:val="clear" w:color="auto" w:fill="D5E6F7"/>
          </w:tcPr>
          <w:p>
            <w:pPr>
              <w:spacing w:after="0"/>
              <w:rPr>
                <w:sz w:val="18"/>
                <w:szCs w:val="18"/>
                <w:color w:val="auto"/>
              </w:rPr>
            </w:pPr>
          </w:p>
        </w:tc>
      </w:tr>
      <w:tr>
        <w:trPr>
          <w:trHeight w:val="216"/>
        </w:trPr>
        <w:tc>
          <w:tcPr>
            <w:tcW w:w="548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Product and other</w:t>
            </w:r>
          </w:p>
        </w:tc>
        <w:tc>
          <w:tcPr>
            <w:tcW w:w="96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24,289</w:t>
            </w:r>
          </w:p>
        </w:tc>
        <w:tc>
          <w:tcPr>
            <w:tcW w:w="22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18,009</w:t>
            </w:r>
          </w:p>
        </w:tc>
        <w:tc>
          <w:tcPr>
            <w:tcW w:w="140" w:type="dxa"/>
            <w:vAlign w:val="bottom"/>
            <w:tcBorders>
              <w:bottom w:val="single" w:sz="8" w:color="D5E6F7"/>
            </w:tcBorders>
          </w:tcPr>
          <w:p>
            <w:pPr>
              <w:spacing w:after="0"/>
              <w:rPr>
                <w:sz w:val="18"/>
                <w:szCs w:val="18"/>
                <w:color w:val="auto"/>
              </w:rPr>
            </w:pPr>
          </w:p>
        </w:tc>
        <w:tc>
          <w:tcPr>
            <w:tcW w:w="8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100" w:type="dxa"/>
            <w:vAlign w:val="bottom"/>
            <w:tcBorders>
              <w:bottom w:val="single" w:sz="8" w:color="D5E6F7"/>
            </w:tcBorders>
          </w:tcPr>
          <w:p>
            <w:pPr>
              <w:spacing w:after="0"/>
              <w:rPr>
                <w:sz w:val="18"/>
                <w:szCs w:val="18"/>
                <w:color w:val="auto"/>
              </w:rPr>
            </w:pPr>
          </w:p>
        </w:tc>
      </w:tr>
      <w:tr>
        <w:trPr>
          <w:trHeight w:val="209"/>
        </w:trPr>
        <w:tc>
          <w:tcPr>
            <w:tcW w:w="548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Total cost of revenue</w:t>
            </w:r>
          </w:p>
        </w:tc>
        <w:tc>
          <w:tcPr>
            <w:tcW w:w="96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73,852</w:t>
            </w:r>
          </w:p>
        </w:tc>
        <w:tc>
          <w:tcPr>
            <w:tcW w:w="22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64,143</w:t>
            </w: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62,212</w:t>
            </w:r>
          </w:p>
        </w:tc>
        <w:tc>
          <w:tcPr>
            <w:tcW w:w="100" w:type="dxa"/>
            <w:vAlign w:val="bottom"/>
            <w:shd w:val="clear" w:color="auto" w:fill="D5E6F7"/>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89,381</w:t>
            </w:r>
          </w:p>
        </w:tc>
        <w:tc>
          <w:tcPr>
            <w:tcW w:w="100" w:type="dxa"/>
            <w:vAlign w:val="bottom"/>
          </w:tcPr>
          <w:p>
            <w:pPr>
              <w:spacing w:after="0"/>
              <w:rPr>
                <w:sz w:val="18"/>
                <w:szCs w:val="18"/>
                <w:color w:val="auto"/>
              </w:rPr>
            </w:pPr>
          </w:p>
        </w:tc>
      </w:tr>
      <w:tr>
        <w:trPr>
          <w:trHeight w:val="216"/>
        </w:trPr>
        <w:tc>
          <w:tcPr>
            <w:tcW w:w="548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D5E6F7"/>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58,631</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50,919</w:t>
            </w: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50,497</w:t>
            </w:r>
          </w:p>
        </w:tc>
        <w:tc>
          <w:tcPr>
            <w:tcW w:w="100" w:type="dxa"/>
            <w:vAlign w:val="bottom"/>
            <w:shd w:val="clear" w:color="auto" w:fill="D5E6F7"/>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37,770</w:t>
            </w:r>
          </w:p>
        </w:tc>
        <w:tc>
          <w:tcPr>
            <w:tcW w:w="100" w:type="dxa"/>
            <w:vAlign w:val="bottom"/>
          </w:tcPr>
          <w:p>
            <w:pPr>
              <w:spacing w:after="0"/>
              <w:rPr>
                <w:sz w:val="18"/>
                <w:szCs w:val="18"/>
                <w:color w:val="auto"/>
              </w:rPr>
            </w:pPr>
          </w:p>
        </w:tc>
      </w:tr>
      <w:tr>
        <w:trPr>
          <w:trHeight w:val="216"/>
        </w:trPr>
        <w:tc>
          <w:tcPr>
            <w:tcW w:w="5480" w:type="dxa"/>
            <w:vAlign w:val="bottom"/>
            <w:shd w:val="clear" w:color="auto" w:fill="D5E6F7"/>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23,544</w:t>
            </w:r>
          </w:p>
        </w:tc>
        <w:tc>
          <w:tcPr>
            <w:tcW w:w="22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20,581</w:t>
            </w: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20,825</w:t>
            </w:r>
          </w:p>
        </w:tc>
        <w:tc>
          <w:tcPr>
            <w:tcW w:w="100" w:type="dxa"/>
            <w:vAlign w:val="bottom"/>
            <w:shd w:val="clear" w:color="auto" w:fill="D5E6F7"/>
          </w:tcPr>
          <w:p>
            <w:pPr>
              <w:spacing w:after="0"/>
              <w:rPr>
                <w:sz w:val="18"/>
                <w:szCs w:val="18"/>
                <w:color w:val="auto"/>
              </w:rPr>
            </w:pPr>
          </w:p>
        </w:tc>
      </w:tr>
      <w:tr>
        <w:trPr>
          <w:trHeight w:val="209"/>
        </w:trPr>
        <w:tc>
          <w:tcPr>
            <w:tcW w:w="5480" w:type="dxa"/>
            <w:vAlign w:val="bottom"/>
            <w:tcBorders>
              <w:bottom w:val="single" w:sz="8" w:color="D5E6F7"/>
            </w:tcBorders>
          </w:tcPr>
          <w:p>
            <w:pPr>
              <w:ind w:left="260"/>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120,368</w:t>
            </w:r>
          </w:p>
        </w:tc>
        <w:tc>
          <w:tcPr>
            <w:tcW w:w="22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107,579</w:t>
            </w:r>
          </w:p>
        </w:tc>
        <w:tc>
          <w:tcPr>
            <w:tcW w:w="140" w:type="dxa"/>
            <w:vAlign w:val="bottom"/>
            <w:tcBorders>
              <w:bottom w:val="single" w:sz="8" w:color="D5E6F7"/>
            </w:tcBorders>
          </w:tcPr>
          <w:p>
            <w:pPr>
              <w:spacing w:after="0"/>
              <w:rPr>
                <w:sz w:val="18"/>
                <w:szCs w:val="18"/>
                <w:color w:val="auto"/>
              </w:rPr>
            </w:pPr>
          </w:p>
        </w:tc>
        <w:tc>
          <w:tcPr>
            <w:tcW w:w="8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109,092</w:t>
            </w:r>
          </w:p>
        </w:tc>
        <w:tc>
          <w:tcPr>
            <w:tcW w:w="100" w:type="dxa"/>
            <w:vAlign w:val="bottom"/>
            <w:tcBorders>
              <w:bottom w:val="single" w:sz="8" w:color="D5E6F7"/>
            </w:tcBorders>
          </w:tcPr>
          <w:p>
            <w:pPr>
              <w:spacing w:after="0"/>
              <w:rPr>
                <w:sz w:val="18"/>
                <w:szCs w:val="18"/>
                <w:color w:val="auto"/>
              </w:rPr>
            </w:pPr>
          </w:p>
        </w:tc>
      </w:tr>
      <w:tr>
        <w:trPr>
          <w:trHeight w:val="209"/>
        </w:trPr>
        <w:tc>
          <w:tcPr>
            <w:tcW w:w="548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(1,930)</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(2,775)</w:t>
            </w: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(19,711)</w:t>
            </w:r>
          </w:p>
        </w:tc>
        <w:tc>
          <w:tcPr>
            <w:tcW w:w="100" w:type="dxa"/>
            <w:vAlign w:val="bottom"/>
            <w:shd w:val="clear" w:color="auto" w:fill="D5E6F7"/>
          </w:tcPr>
          <w:p>
            <w:pPr>
              <w:spacing w:after="0"/>
              <w:rPr>
                <w:sz w:val="18"/>
                <w:szCs w:val="18"/>
                <w:color w:val="auto"/>
              </w:rPr>
            </w:pPr>
          </w:p>
        </w:tc>
      </w:tr>
      <w:tr>
        <w:trPr>
          <w:trHeight w:val="216"/>
        </w:trPr>
        <w:tc>
          <w:tcPr>
            <w:tcW w:w="548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Interest and other income, net</w:t>
            </w:r>
          </w:p>
        </w:tc>
        <w:tc>
          <w:tcPr>
            <w:tcW w:w="96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bottom w:val="single" w:sz="8" w:color="D5E6F7"/>
            </w:tcBorders>
          </w:tcPr>
          <w:p>
            <w:pPr>
              <w:spacing w:after="0"/>
              <w:rPr>
                <w:sz w:val="18"/>
                <w:szCs w:val="18"/>
                <w:color w:val="auto"/>
              </w:rPr>
            </w:pPr>
          </w:p>
        </w:tc>
        <w:tc>
          <w:tcPr>
            <w:tcW w:w="8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D5E6F7"/>
            </w:tcBorders>
          </w:tcPr>
          <w:p>
            <w:pPr>
              <w:spacing w:after="0"/>
              <w:rPr>
                <w:sz w:val="18"/>
                <w:szCs w:val="18"/>
                <w:color w:val="auto"/>
              </w:rPr>
            </w:pPr>
          </w:p>
        </w:tc>
      </w:tr>
      <w:tr>
        <w:trPr>
          <w:trHeight w:val="210"/>
        </w:trPr>
        <w:tc>
          <w:tcPr>
            <w:tcW w:w="548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Loss before income taxes</w:t>
            </w: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(1,751)</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(2,356)</w:t>
            </w: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shd w:val="clear" w:color="auto" w:fill="D5E6F7"/>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Income tax (provision) benefit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r>
      <w:tr>
        <w:trPr>
          <w:trHeight w:val="209"/>
        </w:trPr>
        <w:tc>
          <w:tcPr>
            <w:tcW w:w="5480" w:type="dxa"/>
            <w:vAlign w:val="bottom"/>
            <w:tcBorders>
              <w:top w:val="single" w:sz="8" w:color="D5E6F7"/>
              <w:bottom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top w:val="single" w:sz="8" w:color="D5E6F7"/>
              <w:bottom w:val="single" w:sz="8" w:color="D5E6F7"/>
            </w:tcBorders>
            <w:shd w:val="clear" w:color="auto" w:fill="D5E6F7"/>
          </w:tcPr>
          <w:p>
            <w:pPr>
              <w:spacing w:after="0"/>
              <w:rPr>
                <w:sz w:val="18"/>
                <w:szCs w:val="18"/>
                <w:color w:val="auto"/>
              </w:rPr>
            </w:pPr>
          </w:p>
        </w:tc>
        <w:tc>
          <w:tcPr>
            <w:tcW w:w="300" w:type="dxa"/>
            <w:vAlign w:val="bottom"/>
            <w:tcBorders>
              <w:top w:val="single" w:sz="8" w:color="auto"/>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(1,751)</w:t>
            </w:r>
          </w:p>
        </w:tc>
        <w:tc>
          <w:tcPr>
            <w:tcW w:w="220" w:type="dxa"/>
            <w:vAlign w:val="bottom"/>
            <w:tcBorders>
              <w:top w:val="single" w:sz="8" w:color="D5E6F7"/>
              <w:bottom w:val="single" w:sz="8" w:color="D5E6F7"/>
            </w:tcBorders>
            <w:shd w:val="clear" w:color="auto" w:fill="D5E6F7"/>
          </w:tcPr>
          <w:p>
            <w:pPr>
              <w:spacing w:after="0"/>
              <w:rPr>
                <w:sz w:val="18"/>
                <w:szCs w:val="18"/>
                <w:color w:val="auto"/>
              </w:rPr>
            </w:pPr>
          </w:p>
        </w:tc>
        <w:tc>
          <w:tcPr>
            <w:tcW w:w="300" w:type="dxa"/>
            <w:vAlign w:val="bottom"/>
            <w:tcBorders>
              <w:top w:val="single" w:sz="8" w:color="auto"/>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(2,441)</w:t>
            </w:r>
          </w:p>
        </w:tc>
        <w:tc>
          <w:tcPr>
            <w:tcW w:w="140" w:type="dxa"/>
            <w:vAlign w:val="bottom"/>
            <w:tcBorders>
              <w:top w:val="single" w:sz="8" w:color="D5E6F7"/>
              <w:bottom w:val="single" w:sz="8" w:color="D5E6F7"/>
            </w:tcBorders>
            <w:shd w:val="clear" w:color="auto" w:fill="D5E6F7"/>
          </w:tcPr>
          <w:p>
            <w:pPr>
              <w:spacing w:after="0"/>
              <w:rPr>
                <w:sz w:val="18"/>
                <w:szCs w:val="18"/>
                <w:color w:val="auto"/>
              </w:rPr>
            </w:pPr>
          </w:p>
        </w:tc>
        <w:tc>
          <w:tcPr>
            <w:tcW w:w="80" w:type="dxa"/>
            <w:vAlign w:val="bottom"/>
            <w:tcBorders>
              <w:top w:val="single" w:sz="8" w:color="D5E6F7"/>
              <w:bottom w:val="single" w:sz="8" w:color="D5E6F7"/>
            </w:tcBorders>
            <w:shd w:val="clear" w:color="auto" w:fill="D5E6F7"/>
          </w:tcPr>
          <w:p>
            <w:pPr>
              <w:spacing w:after="0"/>
              <w:rPr>
                <w:sz w:val="18"/>
                <w:szCs w:val="18"/>
                <w:color w:val="auto"/>
              </w:rPr>
            </w:pPr>
          </w:p>
        </w:tc>
        <w:tc>
          <w:tcPr>
            <w:tcW w:w="300" w:type="dxa"/>
            <w:vAlign w:val="bottom"/>
            <w:tcBorders>
              <w:top w:val="single" w:sz="8" w:color="auto"/>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8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Net loss per share of common stock:</w:t>
            </w:r>
          </w:p>
        </w:tc>
        <w:tc>
          <w:tcPr>
            <w:tcW w:w="9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56"/>
        </w:trPr>
        <w:tc>
          <w:tcPr>
            <w:tcW w:w="548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(0.89)</w:t>
            </w:r>
          </w:p>
        </w:tc>
      </w:tr>
      <w:tr>
        <w:trPr>
          <w:trHeight w:val="197"/>
        </w:trPr>
        <w:tc>
          <w:tcPr>
            <w:tcW w:w="5480" w:type="dxa"/>
            <w:vAlign w:val="bottom"/>
            <w:tcBorders>
              <w:top w:val="single" w:sz="8" w:color="D5E6F7"/>
            </w:tcBorders>
            <w:shd w:val="clear" w:color="auto" w:fill="D5E6F7"/>
          </w:tcPr>
          <w:p>
            <w:pPr>
              <w:spacing w:after="0" w:line="196" w:lineRule="exact"/>
              <w:rPr>
                <w:sz w:val="20"/>
                <w:szCs w:val="20"/>
                <w:color w:val="auto"/>
              </w:rPr>
            </w:pPr>
            <w:r>
              <w:rPr>
                <w:rFonts w:ascii="Arial" w:cs="Arial" w:eastAsia="Arial" w:hAnsi="Arial"/>
                <w:sz w:val="18"/>
                <w:szCs w:val="18"/>
                <w:color w:val="auto"/>
              </w:rPr>
              <w:t>Weighted-average shares of common stock outstanding:</w:t>
            </w:r>
          </w:p>
        </w:tc>
        <w:tc>
          <w:tcPr>
            <w:tcW w:w="960" w:type="dxa"/>
            <w:vAlign w:val="bottom"/>
            <w:tcBorders>
              <w:top w:val="single" w:sz="8" w:color="D5E6F7"/>
            </w:tcBorders>
            <w:shd w:val="clear" w:color="auto" w:fill="D5E6F7"/>
          </w:tcPr>
          <w:p>
            <w:pPr>
              <w:spacing w:after="0"/>
              <w:rPr>
                <w:sz w:val="17"/>
                <w:szCs w:val="17"/>
                <w:color w:val="auto"/>
              </w:rPr>
            </w:pPr>
          </w:p>
        </w:tc>
        <w:tc>
          <w:tcPr>
            <w:tcW w:w="300" w:type="dxa"/>
            <w:vAlign w:val="bottom"/>
            <w:tcBorders>
              <w:top w:val="single" w:sz="8" w:color="auto"/>
            </w:tcBorders>
            <w:shd w:val="clear" w:color="auto" w:fill="D5E6F7"/>
          </w:tcPr>
          <w:p>
            <w:pPr>
              <w:spacing w:after="0"/>
              <w:rPr>
                <w:sz w:val="17"/>
                <w:szCs w:val="17"/>
                <w:color w:val="auto"/>
              </w:rPr>
            </w:pPr>
          </w:p>
        </w:tc>
        <w:tc>
          <w:tcPr>
            <w:tcW w:w="1120" w:type="dxa"/>
            <w:vAlign w:val="bottom"/>
            <w:tcBorders>
              <w:top w:val="single" w:sz="8" w:color="auto"/>
            </w:tcBorders>
            <w:shd w:val="clear" w:color="auto" w:fill="D5E6F7"/>
          </w:tcPr>
          <w:p>
            <w:pPr>
              <w:spacing w:after="0"/>
              <w:rPr>
                <w:sz w:val="17"/>
                <w:szCs w:val="17"/>
                <w:color w:val="auto"/>
              </w:rPr>
            </w:pPr>
          </w:p>
        </w:tc>
        <w:tc>
          <w:tcPr>
            <w:tcW w:w="220" w:type="dxa"/>
            <w:vAlign w:val="bottom"/>
            <w:tcBorders>
              <w:top w:val="single" w:sz="8" w:color="D5E6F7"/>
            </w:tcBorders>
            <w:shd w:val="clear" w:color="auto" w:fill="D5E6F7"/>
          </w:tcPr>
          <w:p>
            <w:pPr>
              <w:spacing w:after="0"/>
              <w:rPr>
                <w:sz w:val="17"/>
                <w:szCs w:val="17"/>
                <w:color w:val="auto"/>
              </w:rPr>
            </w:pPr>
          </w:p>
        </w:tc>
        <w:tc>
          <w:tcPr>
            <w:tcW w:w="300" w:type="dxa"/>
            <w:vAlign w:val="bottom"/>
            <w:tcBorders>
              <w:top w:val="single" w:sz="8" w:color="auto"/>
            </w:tcBorders>
            <w:shd w:val="clear" w:color="auto" w:fill="D5E6F7"/>
          </w:tcPr>
          <w:p>
            <w:pPr>
              <w:spacing w:after="0"/>
              <w:rPr>
                <w:sz w:val="17"/>
                <w:szCs w:val="17"/>
                <w:color w:val="auto"/>
              </w:rPr>
            </w:pPr>
          </w:p>
        </w:tc>
        <w:tc>
          <w:tcPr>
            <w:tcW w:w="1120" w:type="dxa"/>
            <w:vAlign w:val="bottom"/>
            <w:tcBorders>
              <w:top w:val="single" w:sz="8" w:color="auto"/>
            </w:tcBorders>
            <w:shd w:val="clear" w:color="auto" w:fill="D5E6F7"/>
          </w:tcPr>
          <w:p>
            <w:pPr>
              <w:spacing w:after="0"/>
              <w:rPr>
                <w:sz w:val="17"/>
                <w:szCs w:val="17"/>
                <w:color w:val="auto"/>
              </w:rPr>
            </w:pPr>
          </w:p>
        </w:tc>
        <w:tc>
          <w:tcPr>
            <w:tcW w:w="140" w:type="dxa"/>
            <w:vAlign w:val="bottom"/>
            <w:tcBorders>
              <w:top w:val="single" w:sz="8" w:color="D5E6F7"/>
            </w:tcBorders>
            <w:shd w:val="clear" w:color="auto" w:fill="D5E6F7"/>
          </w:tcPr>
          <w:p>
            <w:pPr>
              <w:spacing w:after="0"/>
              <w:rPr>
                <w:sz w:val="17"/>
                <w:szCs w:val="17"/>
                <w:color w:val="auto"/>
              </w:rPr>
            </w:pPr>
          </w:p>
        </w:tc>
        <w:tc>
          <w:tcPr>
            <w:tcW w:w="80" w:type="dxa"/>
            <w:vAlign w:val="bottom"/>
            <w:tcBorders>
              <w:top w:val="single" w:sz="8" w:color="D5E6F7"/>
            </w:tcBorders>
            <w:shd w:val="clear" w:color="auto" w:fill="D5E6F7"/>
          </w:tcPr>
          <w:p>
            <w:pPr>
              <w:spacing w:after="0"/>
              <w:rPr>
                <w:sz w:val="17"/>
                <w:szCs w:val="17"/>
                <w:color w:val="auto"/>
              </w:rPr>
            </w:pPr>
          </w:p>
        </w:tc>
        <w:tc>
          <w:tcPr>
            <w:tcW w:w="300" w:type="dxa"/>
            <w:vAlign w:val="bottom"/>
            <w:tcBorders>
              <w:top w:val="single" w:sz="8" w:color="auto"/>
            </w:tcBorders>
            <w:shd w:val="clear" w:color="auto" w:fill="D5E6F7"/>
          </w:tcPr>
          <w:p>
            <w:pPr>
              <w:spacing w:after="0"/>
              <w:rPr>
                <w:sz w:val="17"/>
                <w:szCs w:val="17"/>
                <w:color w:val="auto"/>
              </w:rPr>
            </w:pPr>
          </w:p>
        </w:tc>
        <w:tc>
          <w:tcPr>
            <w:tcW w:w="1120" w:type="dxa"/>
            <w:vAlign w:val="bottom"/>
            <w:tcBorders>
              <w:top w:val="single" w:sz="8" w:color="auto"/>
            </w:tcBorders>
            <w:shd w:val="clear" w:color="auto" w:fill="D5E6F7"/>
          </w:tcPr>
          <w:p>
            <w:pPr>
              <w:spacing w:after="0"/>
              <w:rPr>
                <w:sz w:val="17"/>
                <w:szCs w:val="17"/>
                <w:color w:val="auto"/>
              </w:rPr>
            </w:pPr>
          </w:p>
        </w:tc>
        <w:tc>
          <w:tcPr>
            <w:tcW w:w="100" w:type="dxa"/>
            <w:vAlign w:val="bottom"/>
            <w:tcBorders>
              <w:top w:val="single" w:sz="8" w:color="D5E6F7"/>
            </w:tcBorders>
            <w:shd w:val="clear" w:color="auto" w:fill="D5E6F7"/>
          </w:tcPr>
          <w:p>
            <w:pPr>
              <w:spacing w:after="0"/>
              <w:rPr>
                <w:sz w:val="17"/>
                <w:szCs w:val="17"/>
                <w:color w:val="auto"/>
              </w:rPr>
            </w:pPr>
          </w:p>
        </w:tc>
      </w:tr>
      <w:tr>
        <w:trPr>
          <w:trHeight w:val="216"/>
        </w:trPr>
        <w:tc>
          <w:tcPr>
            <w:tcW w:w="548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23,473,849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22,361,312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21,051,039</w:t>
            </w: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OOMA,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A5D"/>
        </w:rPr>
        <w:t>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(Amounts in thousands, except shares and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8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Common Stock and</w:t>
            </w:r>
          </w:p>
        </w:tc>
        <w:tc>
          <w:tcPr>
            <w:tcW w:w="10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Additional Paid-In Capital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18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4"/>
                <w:szCs w:val="14"/>
                <w:b w:val="1"/>
                <w:bCs w:val="1"/>
                <w:color w:val="auto"/>
              </w:rPr>
              <w:t>BALANCE - January 31, 2019</w:t>
            </w:r>
          </w:p>
        </w:tc>
        <w:tc>
          <w:tcPr>
            <w:tcW w:w="11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20,312,102</w:t>
            </w:r>
          </w:p>
        </w:tc>
        <w:tc>
          <w:tcPr>
            <w:tcW w:w="220" w:type="dxa"/>
            <w:vAlign w:val="bottom"/>
            <w:tcBorders>
              <w:top w:val="single" w:sz="8" w:color="D5E6F7"/>
            </w:tcBorders>
            <w:shd w:val="clear" w:color="auto" w:fill="D5E6F7"/>
          </w:tcPr>
          <w:p>
            <w:pPr>
              <w:spacing w:after="0"/>
              <w:rPr>
                <w:sz w:val="17"/>
                <w:szCs w:val="17"/>
                <w:color w:val="auto"/>
              </w:rPr>
            </w:pPr>
          </w:p>
        </w:tc>
        <w:tc>
          <w:tcPr>
            <w:tcW w:w="220" w:type="dxa"/>
            <w:vAlign w:val="bottom"/>
            <w:tcBorders>
              <w:top w:val="single" w:sz="8" w:color="auto"/>
              <w:bottom w:val="single" w:sz="8" w:color="auto"/>
            </w:tcBorders>
            <w:shd w:val="clear" w:color="auto" w:fill="D5E6F7"/>
          </w:tcPr>
          <w:p>
            <w:pPr>
              <w:spacing w:after="0"/>
              <w:rPr>
                <w:sz w:val="17"/>
                <w:szCs w:val="17"/>
                <w:color w:val="auto"/>
              </w:rPr>
            </w:pPr>
          </w:p>
        </w:tc>
        <w:tc>
          <w:tcPr>
            <w:tcW w:w="10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138,852</w:t>
            </w:r>
          </w:p>
        </w:tc>
        <w:tc>
          <w:tcPr>
            <w:tcW w:w="220" w:type="dxa"/>
            <w:vAlign w:val="bottom"/>
            <w:tcBorders>
              <w:top w:val="single" w:sz="8" w:color="D5E6F7"/>
            </w:tcBorders>
            <w:shd w:val="clear" w:color="auto" w:fill="D5E6F7"/>
          </w:tcPr>
          <w:p>
            <w:pPr>
              <w:spacing w:after="0"/>
              <w:rPr>
                <w:sz w:val="17"/>
                <w:szCs w:val="17"/>
                <w:color w:val="auto"/>
              </w:rPr>
            </w:pPr>
          </w:p>
        </w:tc>
        <w:tc>
          <w:tcPr>
            <w:tcW w:w="1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D5E6F7"/>
            </w:tcBorders>
            <w:shd w:val="clear" w:color="auto" w:fill="D5E6F7"/>
          </w:tcPr>
          <w:p>
            <w:pPr>
              <w:spacing w:after="0"/>
              <w:rPr>
                <w:sz w:val="17"/>
                <w:szCs w:val="17"/>
                <w:color w:val="auto"/>
              </w:rPr>
            </w:pPr>
          </w:p>
        </w:tc>
        <w:tc>
          <w:tcPr>
            <w:tcW w:w="80" w:type="dxa"/>
            <w:vAlign w:val="bottom"/>
            <w:tcBorders>
              <w:top w:val="single" w:sz="8" w:color="D5E6F7"/>
            </w:tcBorders>
            <w:shd w:val="clear" w:color="auto" w:fill="D5E6F7"/>
          </w:tcPr>
          <w:p>
            <w:pPr>
              <w:spacing w:after="0"/>
              <w:rPr>
                <w:sz w:val="17"/>
                <w:szCs w:val="17"/>
                <w:color w:val="auto"/>
              </w:rPr>
            </w:pPr>
          </w:p>
        </w:tc>
        <w:tc>
          <w:tcPr>
            <w:tcW w:w="1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(105,795)</w:t>
            </w:r>
          </w:p>
        </w:tc>
        <w:tc>
          <w:tcPr>
            <w:tcW w:w="220" w:type="dxa"/>
            <w:vAlign w:val="bottom"/>
            <w:tcBorders>
              <w:top w:val="single" w:sz="8" w:color="D5E6F7"/>
            </w:tcBorders>
            <w:shd w:val="clear" w:color="auto" w:fill="D5E6F7"/>
          </w:tcPr>
          <w:p>
            <w:pPr>
              <w:spacing w:after="0"/>
              <w:rPr>
                <w:sz w:val="17"/>
                <w:szCs w:val="17"/>
                <w:color w:val="auto"/>
              </w:rPr>
            </w:pPr>
          </w:p>
        </w:tc>
        <w:tc>
          <w:tcPr>
            <w:tcW w:w="200" w:type="dxa"/>
            <w:vAlign w:val="bottom"/>
            <w:tcBorders>
              <w:top w:val="single" w:sz="8" w:color="auto"/>
              <w:bottom w:val="single" w:sz="8" w:color="auto"/>
            </w:tcBorders>
            <w:shd w:val="clear" w:color="auto" w:fill="D5E6F7"/>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33,047</w:t>
            </w:r>
          </w:p>
        </w:tc>
        <w:tc>
          <w:tcPr>
            <w:tcW w:w="60" w:type="dxa"/>
            <w:vAlign w:val="bottom"/>
            <w:tcBorders>
              <w:top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line="160" w:lineRule="exact"/>
              <w:rPr>
                <w:sz w:val="20"/>
                <w:szCs w:val="20"/>
                <w:color w:val="auto"/>
              </w:rPr>
            </w:pPr>
            <w:r>
              <w:rPr>
                <w:rFonts w:ascii="Arial" w:cs="Arial" w:eastAsia="Arial" w:hAnsi="Arial"/>
                <w:sz w:val="14"/>
                <w:szCs w:val="14"/>
                <w:color w:val="auto"/>
              </w:rPr>
              <w:t>Issuance of common stock under equity-based</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1,515,111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2,951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2,951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color w:val="auto"/>
              </w:rPr>
              <w:t>plans</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D5E6F7"/>
          </w:tcPr>
          <w:p>
            <w:pPr>
              <w:spacing w:after="0"/>
              <w:rPr>
                <w:sz w:val="20"/>
                <w:szCs w:val="20"/>
                <w:color w:val="auto"/>
              </w:rPr>
            </w:pPr>
            <w:r>
              <w:rPr>
                <w:rFonts w:ascii="Arial" w:cs="Arial" w:eastAsia="Arial" w:hAnsi="Arial"/>
                <w:sz w:val="14"/>
                <w:szCs w:val="14"/>
                <w:color w:val="auto"/>
              </w:rPr>
              <w:t>Shares repurchased for tax withholdings on vesting of RSUs</w:t>
            </w:r>
          </w:p>
        </w:tc>
        <w:tc>
          <w:tcPr>
            <w:tcW w:w="1340" w:type="dxa"/>
            <w:vAlign w:val="bottom"/>
            <w:gridSpan w:val="2"/>
            <w:shd w:val="clear" w:color="auto" w:fill="D5E6F7"/>
          </w:tcPr>
          <w:p>
            <w:pPr>
              <w:jc w:val="right"/>
              <w:ind w:right="160"/>
              <w:spacing w:after="0"/>
              <w:rPr>
                <w:sz w:val="20"/>
                <w:szCs w:val="20"/>
                <w:color w:val="auto"/>
              </w:rPr>
            </w:pPr>
            <w:r>
              <w:rPr>
                <w:rFonts w:ascii="Arial" w:cs="Arial" w:eastAsia="Arial" w:hAnsi="Arial"/>
                <w:sz w:val="16"/>
                <w:szCs w:val="16"/>
                <w:color w:val="auto"/>
              </w:rPr>
              <w:t>(111,085)</w:t>
            </w:r>
          </w:p>
        </w:tc>
        <w:tc>
          <w:tcPr>
            <w:tcW w:w="220" w:type="dxa"/>
            <w:vAlign w:val="bottom"/>
            <w:shd w:val="clear" w:color="auto" w:fill="D5E6F7"/>
          </w:tcPr>
          <w:p>
            <w:pPr>
              <w:spacing w:after="0"/>
              <w:rPr>
                <w:sz w:val="17"/>
                <w:szCs w:val="17"/>
                <w:color w:val="auto"/>
              </w:rPr>
            </w:pPr>
          </w:p>
        </w:tc>
        <w:tc>
          <w:tcPr>
            <w:tcW w:w="1260" w:type="dxa"/>
            <w:vAlign w:val="bottom"/>
            <w:gridSpan w:val="2"/>
            <w:shd w:val="clear" w:color="auto" w:fill="D5E6F7"/>
          </w:tcPr>
          <w:p>
            <w:pPr>
              <w:jc w:val="right"/>
              <w:ind w:right="160"/>
              <w:spacing w:after="0"/>
              <w:rPr>
                <w:sz w:val="20"/>
                <w:szCs w:val="20"/>
                <w:color w:val="auto"/>
              </w:rPr>
            </w:pPr>
            <w:r>
              <w:rPr>
                <w:rFonts w:ascii="Arial" w:cs="Arial" w:eastAsia="Arial" w:hAnsi="Arial"/>
                <w:sz w:val="16"/>
                <w:szCs w:val="16"/>
                <w:color w:val="auto"/>
              </w:rPr>
              <w:t>(1,523)</w:t>
            </w:r>
          </w:p>
        </w:tc>
        <w:tc>
          <w:tcPr>
            <w:tcW w:w="10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124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E6F7"/>
          </w:tcPr>
          <w:p>
            <w:pPr>
              <w:spacing w:after="0"/>
              <w:rPr>
                <w:sz w:val="17"/>
                <w:szCs w:val="17"/>
                <w:color w:val="auto"/>
              </w:rPr>
            </w:pPr>
          </w:p>
        </w:tc>
        <w:tc>
          <w:tcPr>
            <w:tcW w:w="940" w:type="dxa"/>
            <w:vAlign w:val="bottom"/>
            <w:gridSpan w:val="2"/>
            <w:shd w:val="clear" w:color="auto" w:fill="D5E6F7"/>
          </w:tcPr>
          <w:p>
            <w:pPr>
              <w:jc w:val="right"/>
              <w:ind w:right="20"/>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D5E6F7"/>
          </w:tcPr>
          <w:p>
            <w:pPr>
              <w:spacing w:after="0"/>
              <w:rPr>
                <w:sz w:val="20"/>
                <w:szCs w:val="20"/>
                <w:color w:val="auto"/>
              </w:rPr>
            </w:pPr>
            <w:r>
              <w:rPr>
                <w:rFonts w:ascii="Arial" w:cs="Arial" w:eastAsia="Arial" w:hAnsi="Arial"/>
                <w:sz w:val="14"/>
                <w:szCs w:val="14"/>
                <w:color w:val="auto"/>
              </w:rPr>
              <w:t>Other comprehensive income</w:t>
            </w:r>
          </w:p>
        </w:tc>
        <w:tc>
          <w:tcPr>
            <w:tcW w:w="1340" w:type="dxa"/>
            <w:vAlign w:val="bottom"/>
            <w:gridSpan w:val="2"/>
            <w:shd w:val="clear" w:color="auto" w:fill="D5E6F7"/>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5E6F7"/>
          </w:tcPr>
          <w:p>
            <w:pPr>
              <w:spacing w:after="0"/>
              <w:rPr>
                <w:sz w:val="17"/>
                <w:szCs w:val="17"/>
                <w:color w:val="auto"/>
              </w:rPr>
            </w:pPr>
          </w:p>
        </w:tc>
        <w:tc>
          <w:tcPr>
            <w:tcW w:w="126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D5E6F7"/>
          </w:tcPr>
          <w:p>
            <w:pPr>
              <w:spacing w:after="0"/>
              <w:rPr>
                <w:sz w:val="17"/>
                <w:szCs w:val="17"/>
                <w:color w:val="auto"/>
              </w:rPr>
            </w:pPr>
          </w:p>
        </w:tc>
        <w:tc>
          <w:tcPr>
            <w:tcW w:w="1460" w:type="dxa"/>
            <w:vAlign w:val="bottom"/>
            <w:shd w:val="clear" w:color="auto" w:fill="D5E6F7"/>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124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E6F7"/>
          </w:tcPr>
          <w:p>
            <w:pPr>
              <w:spacing w:after="0"/>
              <w:rPr>
                <w:sz w:val="17"/>
                <w:szCs w:val="17"/>
                <w:color w:val="auto"/>
              </w:rPr>
            </w:pPr>
          </w:p>
        </w:tc>
        <w:tc>
          <w:tcPr>
            <w:tcW w:w="880" w:type="dxa"/>
            <w:vAlign w:val="bottom"/>
            <w:shd w:val="clear" w:color="auto" w:fill="D5E6F7"/>
          </w:tcPr>
          <w:p>
            <w:pPr>
              <w:jc w:val="right"/>
              <w:spacing w:after="0"/>
              <w:rPr>
                <w:sz w:val="20"/>
                <w:szCs w:val="20"/>
                <w:color w:val="auto"/>
              </w:rPr>
            </w:pPr>
            <w:r>
              <w:rPr>
                <w:rFonts w:ascii="Arial" w:cs="Arial" w:eastAsia="Arial" w:hAnsi="Arial"/>
                <w:sz w:val="16"/>
                <w:szCs w:val="16"/>
                <w:color w:val="auto"/>
              </w:rPr>
              <w:t>24</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(18,801)</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(18,801)</w:t>
            </w:r>
          </w:p>
        </w:tc>
        <w:tc>
          <w:tcPr>
            <w:tcW w:w="0" w:type="dxa"/>
            <w:vAlign w:val="bottom"/>
          </w:tcPr>
          <w:p>
            <w:pPr>
              <w:spacing w:after="0"/>
              <w:rPr>
                <w:sz w:val="1"/>
                <w:szCs w:val="1"/>
                <w:color w:val="auto"/>
              </w:rPr>
            </w:pPr>
          </w:p>
        </w:tc>
      </w:tr>
      <w:tr>
        <w:trPr>
          <w:trHeight w:val="196"/>
        </w:trPr>
        <w:tc>
          <w:tcPr>
            <w:tcW w:w="418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4"/>
                <w:szCs w:val="14"/>
                <w:b w:val="1"/>
                <w:bCs w:val="1"/>
                <w:color w:val="auto"/>
              </w:rPr>
              <w:t>BALANCE - January 31, 2020</w:t>
            </w:r>
          </w:p>
        </w:tc>
        <w:tc>
          <w:tcPr>
            <w:tcW w:w="11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21,716,128</w:t>
            </w:r>
          </w:p>
        </w:tc>
        <w:tc>
          <w:tcPr>
            <w:tcW w:w="220" w:type="dxa"/>
            <w:vAlign w:val="bottom"/>
            <w:tcBorders>
              <w:top w:val="single" w:sz="8" w:color="D5E6F7"/>
            </w:tcBorders>
            <w:shd w:val="clear" w:color="auto" w:fill="D5E6F7"/>
          </w:tcPr>
          <w:p>
            <w:pPr>
              <w:spacing w:after="0"/>
              <w:rPr>
                <w:sz w:val="17"/>
                <w:szCs w:val="17"/>
                <w:color w:val="auto"/>
              </w:rPr>
            </w:pPr>
          </w:p>
        </w:tc>
        <w:tc>
          <w:tcPr>
            <w:tcW w:w="220" w:type="dxa"/>
            <w:vAlign w:val="bottom"/>
            <w:tcBorders>
              <w:top w:val="single" w:sz="8" w:color="auto"/>
            </w:tcBorders>
            <w:shd w:val="clear" w:color="auto" w:fill="D5E6F7"/>
          </w:tcPr>
          <w:p>
            <w:pPr>
              <w:spacing w:after="0"/>
              <w:rPr>
                <w:sz w:val="17"/>
                <w:szCs w:val="17"/>
                <w:color w:val="auto"/>
              </w:rPr>
            </w:pPr>
          </w:p>
        </w:tc>
        <w:tc>
          <w:tcPr>
            <w:tcW w:w="10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152,997</w:t>
            </w:r>
          </w:p>
        </w:tc>
        <w:tc>
          <w:tcPr>
            <w:tcW w:w="220" w:type="dxa"/>
            <w:vAlign w:val="bottom"/>
            <w:tcBorders>
              <w:top w:val="single" w:sz="8" w:color="D5E6F7"/>
            </w:tcBorders>
            <w:shd w:val="clear" w:color="auto" w:fill="D5E6F7"/>
          </w:tcPr>
          <w:p>
            <w:pPr>
              <w:spacing w:after="0"/>
              <w:rPr>
                <w:sz w:val="17"/>
                <w:szCs w:val="17"/>
                <w:color w:val="auto"/>
              </w:rPr>
            </w:pPr>
          </w:p>
        </w:tc>
        <w:tc>
          <w:tcPr>
            <w:tcW w:w="100" w:type="dxa"/>
            <w:vAlign w:val="bottom"/>
            <w:tcBorders>
              <w:top w:val="single" w:sz="8" w:color="auto"/>
            </w:tcBorders>
            <w:shd w:val="clear" w:color="auto" w:fill="D5E6F7"/>
          </w:tcPr>
          <w:p>
            <w:pPr>
              <w:spacing w:after="0"/>
              <w:rPr>
                <w:sz w:val="17"/>
                <w:szCs w:val="17"/>
                <w:color w:val="auto"/>
              </w:rPr>
            </w:pPr>
          </w:p>
        </w:tc>
        <w:tc>
          <w:tcPr>
            <w:tcW w:w="14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D5E6F7"/>
            </w:tcBorders>
            <w:shd w:val="clear" w:color="auto" w:fill="D5E6F7"/>
          </w:tcPr>
          <w:p>
            <w:pPr>
              <w:spacing w:after="0"/>
              <w:rPr>
                <w:sz w:val="17"/>
                <w:szCs w:val="17"/>
                <w:color w:val="auto"/>
              </w:rPr>
            </w:pPr>
          </w:p>
        </w:tc>
        <w:tc>
          <w:tcPr>
            <w:tcW w:w="80" w:type="dxa"/>
            <w:vAlign w:val="bottom"/>
            <w:tcBorders>
              <w:top w:val="single" w:sz="8" w:color="D5E6F7"/>
            </w:tcBorders>
            <w:shd w:val="clear" w:color="auto" w:fill="D5E6F7"/>
          </w:tcPr>
          <w:p>
            <w:pPr>
              <w:spacing w:after="0"/>
              <w:rPr>
                <w:sz w:val="17"/>
                <w:szCs w:val="17"/>
                <w:color w:val="auto"/>
              </w:rPr>
            </w:pPr>
          </w:p>
        </w:tc>
        <w:tc>
          <w:tcPr>
            <w:tcW w:w="100" w:type="dxa"/>
            <w:vAlign w:val="bottom"/>
            <w:tcBorders>
              <w:top w:val="single" w:sz="8" w:color="auto"/>
            </w:tcBorders>
            <w:shd w:val="clear" w:color="auto" w:fill="D5E6F7"/>
          </w:tcPr>
          <w:p>
            <w:pPr>
              <w:spacing w:after="0"/>
              <w:rPr>
                <w:sz w:val="17"/>
                <w:szCs w:val="17"/>
                <w:color w:val="auto"/>
              </w:rPr>
            </w:pPr>
          </w:p>
        </w:tc>
        <w:tc>
          <w:tcPr>
            <w:tcW w:w="10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(124,596)</w:t>
            </w:r>
          </w:p>
        </w:tc>
        <w:tc>
          <w:tcPr>
            <w:tcW w:w="220" w:type="dxa"/>
            <w:vAlign w:val="bottom"/>
            <w:tcBorders>
              <w:top w:val="single" w:sz="8" w:color="D5E6F7"/>
            </w:tcBorders>
            <w:shd w:val="clear" w:color="auto" w:fill="D5E6F7"/>
          </w:tcPr>
          <w:p>
            <w:pPr>
              <w:spacing w:after="0"/>
              <w:rPr>
                <w:sz w:val="17"/>
                <w:szCs w:val="17"/>
                <w:color w:val="auto"/>
              </w:rPr>
            </w:pPr>
          </w:p>
        </w:tc>
        <w:tc>
          <w:tcPr>
            <w:tcW w:w="200" w:type="dxa"/>
            <w:vAlign w:val="bottom"/>
            <w:tcBorders>
              <w:top w:val="single" w:sz="8" w:color="auto"/>
            </w:tcBorders>
            <w:shd w:val="clear" w:color="auto" w:fill="D5E6F7"/>
          </w:tcPr>
          <w:p>
            <w:pPr>
              <w:spacing w:after="0"/>
              <w:rPr>
                <w:sz w:val="17"/>
                <w:szCs w:val="17"/>
                <w:color w:val="auto"/>
              </w:rPr>
            </w:pPr>
          </w:p>
        </w:tc>
        <w:tc>
          <w:tcPr>
            <w:tcW w:w="8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28,415</w:t>
            </w:r>
          </w:p>
        </w:tc>
        <w:tc>
          <w:tcPr>
            <w:tcW w:w="60" w:type="dxa"/>
            <w:vAlign w:val="bottom"/>
            <w:tcBorders>
              <w:top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180" w:type="dxa"/>
            <w:vAlign w:val="bottom"/>
          </w:tcPr>
          <w:p>
            <w:pPr>
              <w:spacing w:after="0"/>
              <w:rPr>
                <w:sz w:val="20"/>
                <w:szCs w:val="20"/>
                <w:color w:val="auto"/>
              </w:rPr>
            </w:pPr>
            <w:r>
              <w:rPr>
                <w:rFonts w:ascii="Arial" w:cs="Arial" w:eastAsia="Arial" w:hAnsi="Arial"/>
                <w:sz w:val="14"/>
                <w:szCs w:val="14"/>
                <w:color w:val="auto"/>
              </w:rPr>
              <w:t>Issuance of common stock under equity-based</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1,279,820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2,950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color w:val="auto"/>
              </w:rPr>
              <w:t>plans</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D5E6F7"/>
          </w:tcPr>
          <w:p>
            <w:pPr>
              <w:spacing w:after="0"/>
              <w:rPr>
                <w:sz w:val="20"/>
                <w:szCs w:val="20"/>
                <w:color w:val="auto"/>
              </w:rPr>
            </w:pPr>
            <w:r>
              <w:rPr>
                <w:rFonts w:ascii="Arial" w:cs="Arial" w:eastAsia="Arial" w:hAnsi="Arial"/>
                <w:sz w:val="14"/>
                <w:szCs w:val="14"/>
                <w:color w:val="auto"/>
              </w:rPr>
              <w:t>Shares repurchased for tax withholdings on vesting of RSUs</w:t>
            </w:r>
          </w:p>
        </w:tc>
        <w:tc>
          <w:tcPr>
            <w:tcW w:w="1340" w:type="dxa"/>
            <w:vAlign w:val="bottom"/>
            <w:gridSpan w:val="2"/>
            <w:shd w:val="clear" w:color="auto" w:fill="D5E6F7"/>
          </w:tcPr>
          <w:p>
            <w:pPr>
              <w:jc w:val="right"/>
              <w:ind w:right="160"/>
              <w:spacing w:after="0"/>
              <w:rPr>
                <w:sz w:val="20"/>
                <w:szCs w:val="20"/>
                <w:color w:val="auto"/>
              </w:rPr>
            </w:pPr>
            <w:r>
              <w:rPr>
                <w:rFonts w:ascii="Arial" w:cs="Arial" w:eastAsia="Arial" w:hAnsi="Arial"/>
                <w:sz w:val="16"/>
                <w:szCs w:val="16"/>
                <w:color w:val="auto"/>
              </w:rPr>
              <w:t>(122,928)</w:t>
            </w:r>
          </w:p>
        </w:tc>
        <w:tc>
          <w:tcPr>
            <w:tcW w:w="220" w:type="dxa"/>
            <w:vAlign w:val="bottom"/>
            <w:shd w:val="clear" w:color="auto" w:fill="D5E6F7"/>
          </w:tcPr>
          <w:p>
            <w:pPr>
              <w:spacing w:after="0"/>
              <w:rPr>
                <w:sz w:val="17"/>
                <w:szCs w:val="17"/>
                <w:color w:val="auto"/>
              </w:rPr>
            </w:pPr>
          </w:p>
        </w:tc>
        <w:tc>
          <w:tcPr>
            <w:tcW w:w="1260" w:type="dxa"/>
            <w:vAlign w:val="bottom"/>
            <w:gridSpan w:val="2"/>
            <w:shd w:val="clear" w:color="auto" w:fill="D5E6F7"/>
          </w:tcPr>
          <w:p>
            <w:pPr>
              <w:jc w:val="right"/>
              <w:ind w:right="160"/>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124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E6F7"/>
          </w:tcPr>
          <w:p>
            <w:pPr>
              <w:spacing w:after="0"/>
              <w:rPr>
                <w:sz w:val="17"/>
                <w:szCs w:val="17"/>
                <w:color w:val="auto"/>
              </w:rPr>
            </w:pPr>
          </w:p>
        </w:tc>
        <w:tc>
          <w:tcPr>
            <w:tcW w:w="940" w:type="dxa"/>
            <w:vAlign w:val="bottom"/>
            <w:gridSpan w:val="2"/>
            <w:shd w:val="clear" w:color="auto" w:fill="D5E6F7"/>
          </w:tcPr>
          <w:p>
            <w:pPr>
              <w:jc w:val="right"/>
              <w:ind w:right="20"/>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12,275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D5E6F7"/>
          </w:tcPr>
          <w:p>
            <w:pPr>
              <w:spacing w:after="0"/>
              <w:rPr>
                <w:sz w:val="20"/>
                <w:szCs w:val="20"/>
                <w:color w:val="auto"/>
              </w:rPr>
            </w:pPr>
            <w:r>
              <w:rPr>
                <w:rFonts w:ascii="Arial" w:cs="Arial" w:eastAsia="Arial" w:hAnsi="Arial"/>
                <w:sz w:val="14"/>
                <w:szCs w:val="14"/>
                <w:color w:val="auto"/>
              </w:rPr>
              <w:t>Other comprehensive income</w:t>
            </w:r>
          </w:p>
        </w:tc>
        <w:tc>
          <w:tcPr>
            <w:tcW w:w="1340" w:type="dxa"/>
            <w:vAlign w:val="bottom"/>
            <w:gridSpan w:val="2"/>
            <w:shd w:val="clear" w:color="auto" w:fill="D5E6F7"/>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5E6F7"/>
          </w:tcPr>
          <w:p>
            <w:pPr>
              <w:spacing w:after="0"/>
              <w:rPr>
                <w:sz w:val="17"/>
                <w:szCs w:val="17"/>
                <w:color w:val="auto"/>
              </w:rPr>
            </w:pPr>
          </w:p>
        </w:tc>
        <w:tc>
          <w:tcPr>
            <w:tcW w:w="126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124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E6F7"/>
          </w:tcPr>
          <w:p>
            <w:pPr>
              <w:spacing w:after="0"/>
              <w:rPr>
                <w:sz w:val="17"/>
                <w:szCs w:val="17"/>
                <w:color w:val="auto"/>
              </w:rPr>
            </w:pPr>
          </w:p>
        </w:tc>
        <w:tc>
          <w:tcPr>
            <w:tcW w:w="940" w:type="dxa"/>
            <w:vAlign w:val="bottom"/>
            <w:gridSpan w:val="2"/>
            <w:shd w:val="clear" w:color="auto" w:fill="D5E6F7"/>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(2,441)</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196"/>
        </w:trPr>
        <w:tc>
          <w:tcPr>
            <w:tcW w:w="418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4"/>
                <w:szCs w:val="14"/>
                <w:b w:val="1"/>
                <w:bCs w:val="1"/>
                <w:color w:val="auto"/>
              </w:rPr>
              <w:t>BALANCE - January 31, 2021</w:t>
            </w:r>
          </w:p>
        </w:tc>
        <w:tc>
          <w:tcPr>
            <w:tcW w:w="11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22,873,020</w:t>
            </w:r>
          </w:p>
        </w:tc>
        <w:tc>
          <w:tcPr>
            <w:tcW w:w="220" w:type="dxa"/>
            <w:vAlign w:val="bottom"/>
            <w:tcBorders>
              <w:top w:val="single" w:sz="8" w:color="D5E6F7"/>
            </w:tcBorders>
            <w:shd w:val="clear" w:color="auto" w:fill="D5E6F7"/>
          </w:tcPr>
          <w:p>
            <w:pPr>
              <w:spacing w:after="0"/>
              <w:rPr>
                <w:sz w:val="17"/>
                <w:szCs w:val="17"/>
                <w:color w:val="auto"/>
              </w:rPr>
            </w:pPr>
          </w:p>
        </w:tc>
        <w:tc>
          <w:tcPr>
            <w:tcW w:w="220" w:type="dxa"/>
            <w:vAlign w:val="bottom"/>
            <w:tcBorders>
              <w:top w:val="single" w:sz="8" w:color="auto"/>
            </w:tcBorders>
            <w:shd w:val="clear" w:color="auto" w:fill="D5E6F7"/>
          </w:tcPr>
          <w:p>
            <w:pPr>
              <w:spacing w:after="0"/>
              <w:rPr>
                <w:sz w:val="17"/>
                <w:szCs w:val="17"/>
                <w:color w:val="auto"/>
              </w:rPr>
            </w:pPr>
          </w:p>
        </w:tc>
        <w:tc>
          <w:tcPr>
            <w:tcW w:w="10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166,581</w:t>
            </w:r>
          </w:p>
        </w:tc>
        <w:tc>
          <w:tcPr>
            <w:tcW w:w="220" w:type="dxa"/>
            <w:vAlign w:val="bottom"/>
            <w:tcBorders>
              <w:top w:val="single" w:sz="8" w:color="D5E6F7"/>
            </w:tcBorders>
            <w:shd w:val="clear" w:color="auto" w:fill="D5E6F7"/>
          </w:tcPr>
          <w:p>
            <w:pPr>
              <w:spacing w:after="0"/>
              <w:rPr>
                <w:sz w:val="17"/>
                <w:szCs w:val="17"/>
                <w:color w:val="auto"/>
              </w:rPr>
            </w:pPr>
          </w:p>
        </w:tc>
        <w:tc>
          <w:tcPr>
            <w:tcW w:w="100" w:type="dxa"/>
            <w:vAlign w:val="bottom"/>
            <w:tcBorders>
              <w:top w:val="single" w:sz="8" w:color="auto"/>
            </w:tcBorders>
            <w:shd w:val="clear" w:color="auto" w:fill="D5E6F7"/>
          </w:tcPr>
          <w:p>
            <w:pPr>
              <w:spacing w:after="0"/>
              <w:rPr>
                <w:sz w:val="17"/>
                <w:szCs w:val="17"/>
                <w:color w:val="auto"/>
              </w:rPr>
            </w:pPr>
          </w:p>
        </w:tc>
        <w:tc>
          <w:tcPr>
            <w:tcW w:w="14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D5E6F7"/>
            </w:tcBorders>
            <w:shd w:val="clear" w:color="auto" w:fill="D5E6F7"/>
          </w:tcPr>
          <w:p>
            <w:pPr>
              <w:spacing w:after="0"/>
              <w:rPr>
                <w:sz w:val="17"/>
                <w:szCs w:val="17"/>
                <w:color w:val="auto"/>
              </w:rPr>
            </w:pPr>
          </w:p>
        </w:tc>
        <w:tc>
          <w:tcPr>
            <w:tcW w:w="80" w:type="dxa"/>
            <w:vAlign w:val="bottom"/>
            <w:tcBorders>
              <w:top w:val="single" w:sz="8" w:color="D5E6F7"/>
            </w:tcBorders>
            <w:shd w:val="clear" w:color="auto" w:fill="D5E6F7"/>
          </w:tcPr>
          <w:p>
            <w:pPr>
              <w:spacing w:after="0"/>
              <w:rPr>
                <w:sz w:val="17"/>
                <w:szCs w:val="17"/>
                <w:color w:val="auto"/>
              </w:rPr>
            </w:pPr>
          </w:p>
        </w:tc>
        <w:tc>
          <w:tcPr>
            <w:tcW w:w="100" w:type="dxa"/>
            <w:vAlign w:val="bottom"/>
            <w:tcBorders>
              <w:top w:val="single" w:sz="8" w:color="auto"/>
            </w:tcBorders>
            <w:shd w:val="clear" w:color="auto" w:fill="D5E6F7"/>
          </w:tcPr>
          <w:p>
            <w:pPr>
              <w:spacing w:after="0"/>
              <w:rPr>
                <w:sz w:val="17"/>
                <w:szCs w:val="17"/>
                <w:color w:val="auto"/>
              </w:rPr>
            </w:pPr>
          </w:p>
        </w:tc>
        <w:tc>
          <w:tcPr>
            <w:tcW w:w="10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(127,037)</w:t>
            </w:r>
          </w:p>
        </w:tc>
        <w:tc>
          <w:tcPr>
            <w:tcW w:w="220" w:type="dxa"/>
            <w:vAlign w:val="bottom"/>
            <w:tcBorders>
              <w:top w:val="single" w:sz="8" w:color="D5E6F7"/>
            </w:tcBorders>
            <w:shd w:val="clear" w:color="auto" w:fill="D5E6F7"/>
          </w:tcPr>
          <w:p>
            <w:pPr>
              <w:spacing w:after="0"/>
              <w:rPr>
                <w:sz w:val="17"/>
                <w:szCs w:val="17"/>
                <w:color w:val="auto"/>
              </w:rPr>
            </w:pPr>
          </w:p>
        </w:tc>
        <w:tc>
          <w:tcPr>
            <w:tcW w:w="200" w:type="dxa"/>
            <w:vAlign w:val="bottom"/>
            <w:tcBorders>
              <w:top w:val="single" w:sz="8" w:color="auto"/>
            </w:tcBorders>
            <w:shd w:val="clear" w:color="auto" w:fill="D5E6F7"/>
          </w:tcPr>
          <w:p>
            <w:pPr>
              <w:spacing w:after="0"/>
              <w:rPr>
                <w:sz w:val="17"/>
                <w:szCs w:val="17"/>
                <w:color w:val="auto"/>
              </w:rPr>
            </w:pPr>
          </w:p>
        </w:tc>
        <w:tc>
          <w:tcPr>
            <w:tcW w:w="8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39,551</w:t>
            </w:r>
          </w:p>
        </w:tc>
        <w:tc>
          <w:tcPr>
            <w:tcW w:w="60" w:type="dxa"/>
            <w:vAlign w:val="bottom"/>
            <w:tcBorders>
              <w:top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180" w:type="dxa"/>
            <w:vAlign w:val="bottom"/>
          </w:tcPr>
          <w:p>
            <w:pPr>
              <w:spacing w:after="0"/>
              <w:rPr>
                <w:sz w:val="20"/>
                <w:szCs w:val="20"/>
                <w:color w:val="auto"/>
              </w:rPr>
            </w:pPr>
            <w:r>
              <w:rPr>
                <w:rFonts w:ascii="Arial" w:cs="Arial" w:eastAsia="Arial" w:hAnsi="Arial"/>
                <w:sz w:val="14"/>
                <w:szCs w:val="14"/>
                <w:color w:val="auto"/>
              </w:rPr>
              <w:t>Issuance of common stock under equity-based</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1,168,245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2,706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color w:val="auto"/>
              </w:rPr>
              <w:t>plans</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D5E6F7"/>
          </w:tcPr>
          <w:p>
            <w:pPr>
              <w:spacing w:after="0"/>
              <w:rPr>
                <w:sz w:val="20"/>
                <w:szCs w:val="20"/>
                <w:color w:val="auto"/>
              </w:rPr>
            </w:pPr>
            <w:r>
              <w:rPr>
                <w:rFonts w:ascii="Arial" w:cs="Arial" w:eastAsia="Arial" w:hAnsi="Arial"/>
                <w:sz w:val="14"/>
                <w:szCs w:val="14"/>
                <w:color w:val="auto"/>
              </w:rPr>
              <w:t>Shares repurchased for tax withholdings on vesting of RSUs</w:t>
            </w:r>
          </w:p>
        </w:tc>
        <w:tc>
          <w:tcPr>
            <w:tcW w:w="1340" w:type="dxa"/>
            <w:vAlign w:val="bottom"/>
            <w:gridSpan w:val="2"/>
            <w:shd w:val="clear" w:color="auto" w:fill="D5E6F7"/>
          </w:tcPr>
          <w:p>
            <w:pPr>
              <w:jc w:val="right"/>
              <w:ind w:right="160"/>
              <w:spacing w:after="0"/>
              <w:rPr>
                <w:sz w:val="20"/>
                <w:szCs w:val="20"/>
                <w:color w:val="auto"/>
              </w:rPr>
            </w:pPr>
            <w:r>
              <w:rPr>
                <w:rFonts w:ascii="Arial" w:cs="Arial" w:eastAsia="Arial" w:hAnsi="Arial"/>
                <w:sz w:val="16"/>
                <w:szCs w:val="16"/>
                <w:color w:val="auto"/>
              </w:rPr>
              <w:t>(105,072)</w:t>
            </w:r>
          </w:p>
        </w:tc>
        <w:tc>
          <w:tcPr>
            <w:tcW w:w="220" w:type="dxa"/>
            <w:vAlign w:val="bottom"/>
            <w:shd w:val="clear" w:color="auto" w:fill="D5E6F7"/>
          </w:tcPr>
          <w:p>
            <w:pPr>
              <w:spacing w:after="0"/>
              <w:rPr>
                <w:sz w:val="17"/>
                <w:szCs w:val="17"/>
                <w:color w:val="auto"/>
              </w:rPr>
            </w:pPr>
          </w:p>
        </w:tc>
        <w:tc>
          <w:tcPr>
            <w:tcW w:w="1260" w:type="dxa"/>
            <w:vAlign w:val="bottom"/>
            <w:gridSpan w:val="2"/>
            <w:shd w:val="clear" w:color="auto" w:fill="D5E6F7"/>
          </w:tcPr>
          <w:p>
            <w:pPr>
              <w:jc w:val="right"/>
              <w:ind w:right="160"/>
              <w:spacing w:after="0"/>
              <w:rPr>
                <w:sz w:val="20"/>
                <w:szCs w:val="20"/>
                <w:color w:val="auto"/>
              </w:rPr>
            </w:pPr>
            <w:r>
              <w:rPr>
                <w:rFonts w:ascii="Arial" w:cs="Arial" w:eastAsia="Arial" w:hAnsi="Arial"/>
                <w:sz w:val="16"/>
                <w:szCs w:val="16"/>
                <w:color w:val="auto"/>
              </w:rPr>
              <w:t>(2,105)</w:t>
            </w:r>
          </w:p>
        </w:tc>
        <w:tc>
          <w:tcPr>
            <w:tcW w:w="10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124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E6F7"/>
          </w:tcPr>
          <w:p>
            <w:pPr>
              <w:spacing w:after="0"/>
              <w:rPr>
                <w:sz w:val="17"/>
                <w:szCs w:val="17"/>
                <w:color w:val="auto"/>
              </w:rPr>
            </w:pPr>
          </w:p>
        </w:tc>
        <w:tc>
          <w:tcPr>
            <w:tcW w:w="940" w:type="dxa"/>
            <w:vAlign w:val="bottom"/>
            <w:gridSpan w:val="2"/>
            <w:shd w:val="clear" w:color="auto" w:fill="D5E6F7"/>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D5E6F7"/>
          </w:tcPr>
          <w:p>
            <w:pPr>
              <w:spacing w:after="0"/>
              <w:rPr>
                <w:sz w:val="20"/>
                <w:szCs w:val="20"/>
                <w:color w:val="auto"/>
              </w:rPr>
            </w:pPr>
            <w:r>
              <w:rPr>
                <w:rFonts w:ascii="Arial" w:cs="Arial" w:eastAsia="Arial" w:hAnsi="Arial"/>
                <w:sz w:val="14"/>
                <w:szCs w:val="14"/>
                <w:color w:val="auto"/>
              </w:rPr>
              <w:t>Other comprehensive loss</w:t>
            </w:r>
          </w:p>
        </w:tc>
        <w:tc>
          <w:tcPr>
            <w:tcW w:w="1340" w:type="dxa"/>
            <w:vAlign w:val="bottom"/>
            <w:gridSpan w:val="2"/>
            <w:shd w:val="clear" w:color="auto" w:fill="D5E6F7"/>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5E6F7"/>
          </w:tcPr>
          <w:p>
            <w:pPr>
              <w:spacing w:after="0"/>
              <w:rPr>
                <w:sz w:val="17"/>
                <w:szCs w:val="17"/>
                <w:color w:val="auto"/>
              </w:rPr>
            </w:pPr>
          </w:p>
        </w:tc>
        <w:tc>
          <w:tcPr>
            <w:tcW w:w="126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1240" w:type="dxa"/>
            <w:vAlign w:val="bottom"/>
            <w:gridSpan w:val="2"/>
            <w:shd w:val="clear" w:color="auto" w:fill="D5E6F7"/>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E6F7"/>
          </w:tcPr>
          <w:p>
            <w:pPr>
              <w:spacing w:after="0"/>
              <w:rPr>
                <w:sz w:val="17"/>
                <w:szCs w:val="17"/>
                <w:color w:val="auto"/>
              </w:rPr>
            </w:pPr>
          </w:p>
        </w:tc>
        <w:tc>
          <w:tcPr>
            <w:tcW w:w="940" w:type="dxa"/>
            <w:vAlign w:val="bottom"/>
            <w:gridSpan w:val="2"/>
            <w:shd w:val="clear" w:color="auto" w:fill="D5E6F7"/>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(1,751)</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196"/>
        </w:trPr>
        <w:tc>
          <w:tcPr>
            <w:tcW w:w="4180" w:type="dxa"/>
            <w:vAlign w:val="bottom"/>
            <w:tcBorders>
              <w:top w:val="single" w:sz="8" w:color="D5E6F7"/>
              <w:bottom w:val="single" w:sz="8" w:color="D5E6F7"/>
            </w:tcBorders>
            <w:shd w:val="clear" w:color="auto" w:fill="D5E6F7"/>
          </w:tcPr>
          <w:p>
            <w:pPr>
              <w:spacing w:after="0"/>
              <w:rPr>
                <w:sz w:val="20"/>
                <w:szCs w:val="20"/>
                <w:color w:val="auto"/>
              </w:rPr>
            </w:pPr>
            <w:r>
              <w:rPr>
                <w:rFonts w:ascii="Arial" w:cs="Arial" w:eastAsia="Arial" w:hAnsi="Arial"/>
                <w:sz w:val="14"/>
                <w:szCs w:val="14"/>
                <w:b w:val="1"/>
                <w:bCs w:val="1"/>
                <w:color w:val="auto"/>
              </w:rPr>
              <w:t>BALANCE - January 31, 2022</w:t>
            </w:r>
          </w:p>
        </w:tc>
        <w:tc>
          <w:tcPr>
            <w:tcW w:w="11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23,936,193</w:t>
            </w:r>
          </w:p>
        </w:tc>
        <w:tc>
          <w:tcPr>
            <w:tcW w:w="220" w:type="dxa"/>
            <w:vAlign w:val="bottom"/>
            <w:tcBorders>
              <w:top w:val="single" w:sz="8" w:color="D5E6F7"/>
              <w:bottom w:val="single" w:sz="8" w:color="D5E6F7"/>
            </w:tcBorders>
            <w:shd w:val="clear" w:color="auto" w:fill="D5E6F7"/>
          </w:tcPr>
          <w:p>
            <w:pPr>
              <w:spacing w:after="0"/>
              <w:rPr>
                <w:sz w:val="17"/>
                <w:szCs w:val="17"/>
                <w:color w:val="auto"/>
              </w:rPr>
            </w:pPr>
          </w:p>
        </w:tc>
        <w:tc>
          <w:tcPr>
            <w:tcW w:w="220" w:type="dxa"/>
            <w:vAlign w:val="bottom"/>
            <w:tcBorders>
              <w:top w:val="single" w:sz="8" w:color="auto"/>
              <w:bottom w:val="single" w:sz="8" w:color="auto"/>
            </w:tcBorders>
            <w:shd w:val="clear" w:color="auto" w:fill="D5E6F7"/>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179,864</w:t>
            </w:r>
          </w:p>
        </w:tc>
        <w:tc>
          <w:tcPr>
            <w:tcW w:w="220" w:type="dxa"/>
            <w:vAlign w:val="bottom"/>
            <w:tcBorders>
              <w:top w:val="single" w:sz="8" w:color="D5E6F7"/>
              <w:bottom w:val="single" w:sz="8" w:color="D5E6F7"/>
            </w:tcBorders>
            <w:shd w:val="clear" w:color="auto" w:fill="D5E6F7"/>
          </w:tcPr>
          <w:p>
            <w:pPr>
              <w:spacing w:after="0"/>
              <w:rPr>
                <w:sz w:val="17"/>
                <w:szCs w:val="17"/>
                <w:color w:val="auto"/>
              </w:rPr>
            </w:pPr>
          </w:p>
        </w:tc>
        <w:tc>
          <w:tcPr>
            <w:tcW w:w="1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D5E6F7"/>
              <w:bottom w:val="single" w:sz="8" w:color="D5E6F7"/>
            </w:tcBorders>
            <w:shd w:val="clear" w:color="auto" w:fill="D5E6F7"/>
          </w:tcPr>
          <w:p>
            <w:pPr>
              <w:spacing w:after="0"/>
              <w:rPr>
                <w:sz w:val="17"/>
                <w:szCs w:val="17"/>
                <w:color w:val="auto"/>
              </w:rPr>
            </w:pPr>
          </w:p>
        </w:tc>
        <w:tc>
          <w:tcPr>
            <w:tcW w:w="80" w:type="dxa"/>
            <w:vAlign w:val="bottom"/>
            <w:tcBorders>
              <w:top w:val="single" w:sz="8" w:color="D5E6F7"/>
              <w:bottom w:val="single" w:sz="8" w:color="D5E6F7"/>
            </w:tcBorders>
            <w:shd w:val="clear" w:color="auto" w:fill="D5E6F7"/>
          </w:tcPr>
          <w:p>
            <w:pPr>
              <w:spacing w:after="0"/>
              <w:rPr>
                <w:sz w:val="17"/>
                <w:szCs w:val="17"/>
                <w:color w:val="auto"/>
              </w:rPr>
            </w:pPr>
          </w:p>
        </w:tc>
        <w:tc>
          <w:tcPr>
            <w:tcW w:w="1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(128,788)</w:t>
            </w:r>
          </w:p>
        </w:tc>
        <w:tc>
          <w:tcPr>
            <w:tcW w:w="220" w:type="dxa"/>
            <w:vAlign w:val="bottom"/>
            <w:tcBorders>
              <w:top w:val="single" w:sz="8" w:color="D5E6F7"/>
              <w:bottom w:val="single" w:sz="8" w:color="D5E6F7"/>
            </w:tcBorders>
            <w:shd w:val="clear" w:color="auto" w:fill="D5E6F7"/>
          </w:tcPr>
          <w:p>
            <w:pPr>
              <w:spacing w:after="0"/>
              <w:rPr>
                <w:sz w:val="17"/>
                <w:szCs w:val="17"/>
                <w:color w:val="auto"/>
              </w:rPr>
            </w:pPr>
          </w:p>
        </w:tc>
        <w:tc>
          <w:tcPr>
            <w:tcW w:w="200" w:type="dxa"/>
            <w:vAlign w:val="bottom"/>
            <w:tcBorders>
              <w:top w:val="single" w:sz="8" w:color="auto"/>
              <w:bottom w:val="single" w:sz="8" w:color="auto"/>
            </w:tcBorders>
            <w:shd w:val="clear" w:color="auto" w:fill="D5E6F7"/>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6"/>
                <w:szCs w:val="16"/>
                <w:color w:val="auto"/>
              </w:rPr>
              <w:t>51,056</w:t>
            </w:r>
          </w:p>
        </w:tc>
        <w:tc>
          <w:tcPr>
            <w:tcW w:w="60" w:type="dxa"/>
            <w:vAlign w:val="bottom"/>
            <w:tcBorders>
              <w:top w:val="single" w:sz="8" w:color="D5E6F7"/>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OOMA,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A5D"/>
        </w:rPr>
        <w:t>CONSOLIDATED STATEMENTS OF CASH FLOWS</w:t>
      </w: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Fiscal Year Ended January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520" w:type="dxa"/>
            <w:vAlign w:val="bottom"/>
            <w:tcBorders>
              <w:bottom w:val="single" w:sz="8" w:color="D5E6F7"/>
            </w:tcBorders>
          </w:tcPr>
          <w:p>
            <w:pPr>
              <w:spacing w:after="0"/>
              <w:rPr>
                <w:sz w:val="14"/>
                <w:szCs w:val="14"/>
                <w:color w:val="auto"/>
              </w:rPr>
            </w:pPr>
          </w:p>
        </w:tc>
        <w:tc>
          <w:tcPr>
            <w:tcW w:w="300" w:type="dxa"/>
            <w:vAlign w:val="bottom"/>
            <w:tcBorders>
              <w:bottom w:val="single" w:sz="8" w:color="D5E6F7"/>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5E6F7"/>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D5E6F7"/>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4"/>
                <w:szCs w:val="14"/>
                <w:color w:val="auto"/>
              </w:rPr>
            </w:pPr>
          </w:p>
        </w:tc>
      </w:tr>
      <w:tr>
        <w:trPr>
          <w:trHeight w:val="196"/>
        </w:trPr>
        <w:tc>
          <w:tcPr>
            <w:tcW w:w="6520" w:type="dxa"/>
            <w:vAlign w:val="bottom"/>
            <w:shd w:val="clear" w:color="auto" w:fill="D5E6F7"/>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100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96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6"/>
                <w:szCs w:val="16"/>
                <w:color w:val="auto"/>
              </w:rPr>
              <w:t>Net loss</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(18,801)</w:t>
            </w:r>
          </w:p>
        </w:tc>
      </w:tr>
      <w:tr>
        <w:trPr>
          <w:trHeight w:val="216"/>
        </w:trPr>
        <w:tc>
          <w:tcPr>
            <w:tcW w:w="6520" w:type="dxa"/>
            <w:vAlign w:val="bottom"/>
            <w:shd w:val="clear" w:color="auto" w:fill="D5E6F7"/>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Depreciation and amortization of capital expenditures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3,117</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2,877</w:t>
            </w: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Amortization of intangible assets and acquisition-related items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Amortization of operating lease right-of-use assets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2,939</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3,198</w:t>
            </w: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Non-cash restructuring charges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260" w:type="dxa"/>
            <w:vAlign w:val="bottom"/>
            <w:gridSpan w:val="2"/>
            <w:shd w:val="clear" w:color="auto" w:fill="D5E6F7"/>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8"/>
                <w:szCs w:val="18"/>
                <w:color w:val="auto"/>
              </w:rPr>
            </w:pPr>
          </w:p>
        </w:tc>
        <w:tc>
          <w:tcPr>
            <w:tcW w:w="1220" w:type="dxa"/>
            <w:vAlign w:val="bottom"/>
            <w:gridSpan w:val="2"/>
            <w:shd w:val="clear" w:color="auto" w:fill="D5E6F7"/>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D5E6F7"/>
          </w:tcPr>
          <w:p>
            <w:pPr>
              <w:spacing w:after="0"/>
              <w:rPr>
                <w:sz w:val="18"/>
                <w:szCs w:val="18"/>
                <w:color w:val="auto"/>
              </w:rPr>
            </w:pPr>
          </w:p>
        </w:tc>
        <w:tc>
          <w:tcPr>
            <w:tcW w:w="108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6520" w:type="dxa"/>
            <w:vAlign w:val="bottom"/>
            <w:shd w:val="clear" w:color="auto" w:fill="D5E6F7"/>
          </w:tcPr>
          <w:p>
            <w:pPr>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(2,082)</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Inventories and deferred inventory costs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26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(1,571)</w:t>
            </w:r>
          </w:p>
        </w:tc>
        <w:tc>
          <w:tcPr>
            <w:tcW w:w="280" w:type="dxa"/>
            <w:vAlign w:val="bottom"/>
            <w:shd w:val="clear" w:color="auto" w:fill="D5E6F7"/>
          </w:tcPr>
          <w:p>
            <w:pPr>
              <w:spacing w:after="0"/>
              <w:rPr>
                <w:sz w:val="18"/>
                <w:szCs w:val="18"/>
                <w:color w:val="auto"/>
              </w:rPr>
            </w:pPr>
          </w:p>
        </w:tc>
        <w:tc>
          <w:tcPr>
            <w:tcW w:w="122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(3,378)</w:t>
            </w: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(4,609)</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(5,496)</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(4,965)</w:t>
            </w: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26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(3,599)</w:t>
            </w:r>
          </w:p>
        </w:tc>
        <w:tc>
          <w:tcPr>
            <w:tcW w:w="280" w:type="dxa"/>
            <w:vAlign w:val="bottom"/>
            <w:shd w:val="clear" w:color="auto" w:fill="D5E6F7"/>
          </w:tcPr>
          <w:p>
            <w:pPr>
              <w:spacing w:after="0"/>
              <w:rPr>
                <w:sz w:val="18"/>
                <w:szCs w:val="18"/>
                <w:color w:val="auto"/>
              </w:rPr>
            </w:pPr>
          </w:p>
        </w:tc>
        <w:tc>
          <w:tcPr>
            <w:tcW w:w="122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(3,911)</w:t>
            </w:r>
          </w:p>
        </w:tc>
        <w:tc>
          <w:tcPr>
            <w:tcW w:w="300" w:type="dxa"/>
            <w:vAlign w:val="bottom"/>
            <w:shd w:val="clear" w:color="auto" w:fill="D5E6F7"/>
          </w:tcPr>
          <w:p>
            <w:pPr>
              <w:spacing w:after="0"/>
              <w:rPr>
                <w:sz w:val="18"/>
                <w:szCs w:val="18"/>
                <w:color w:val="auto"/>
              </w:rPr>
            </w:pPr>
          </w:p>
        </w:tc>
        <w:tc>
          <w:tcPr>
            <w:tcW w:w="108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(4,089)</w:t>
            </w:r>
          </w:p>
        </w:tc>
      </w:tr>
      <w:tr>
        <w:trPr>
          <w:trHeight w:val="216"/>
        </w:trPr>
        <w:tc>
          <w:tcPr>
            <w:tcW w:w="6520" w:type="dxa"/>
            <w:vAlign w:val="bottom"/>
            <w:tcBorders>
              <w:bottom w:val="single" w:sz="8" w:color="D5E6F7"/>
            </w:tcBorders>
          </w:tcPr>
          <w:p>
            <w:pPr>
              <w:ind w:left="1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D5E6F7"/>
            </w:tcBorders>
          </w:tcPr>
          <w:p>
            <w:pPr>
              <w:spacing w:after="0"/>
              <w:rPr>
                <w:sz w:val="18"/>
                <w:szCs w:val="18"/>
                <w:color w:val="auto"/>
              </w:rPr>
            </w:pPr>
          </w:p>
        </w:tc>
      </w:tr>
      <w:tr>
        <w:trPr>
          <w:trHeight w:val="209"/>
        </w:trPr>
        <w:tc>
          <w:tcPr>
            <w:tcW w:w="6520" w:type="dxa"/>
            <w:vAlign w:val="bottom"/>
            <w:shd w:val="clear" w:color="auto" w:fill="D5E6F7"/>
          </w:tcPr>
          <w:p>
            <w:pPr>
              <w:ind w:left="2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6,655</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4,367</w:t>
            </w: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(7,564)</w:t>
            </w: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Proceeds from maturities of short-term investments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16,505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22,866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38,522</w:t>
            </w: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Proceeds from sales of short-term investments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(17,488)</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(20,077)</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(31,234)</w:t>
            </w: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26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(4,204)</w:t>
            </w:r>
          </w:p>
        </w:tc>
        <w:tc>
          <w:tcPr>
            <w:tcW w:w="280" w:type="dxa"/>
            <w:vAlign w:val="bottom"/>
            <w:shd w:val="clear" w:color="auto" w:fill="D5E6F7"/>
          </w:tcPr>
          <w:p>
            <w:pPr>
              <w:spacing w:after="0"/>
              <w:rPr>
                <w:sz w:val="18"/>
                <w:szCs w:val="18"/>
                <w:color w:val="auto"/>
              </w:rPr>
            </w:pPr>
          </w:p>
        </w:tc>
        <w:tc>
          <w:tcPr>
            <w:tcW w:w="122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(3,160)</w:t>
            </w:r>
          </w:p>
        </w:tc>
        <w:tc>
          <w:tcPr>
            <w:tcW w:w="300" w:type="dxa"/>
            <w:vAlign w:val="bottom"/>
            <w:shd w:val="clear" w:color="auto" w:fill="D5E6F7"/>
          </w:tcPr>
          <w:p>
            <w:pPr>
              <w:spacing w:after="0"/>
              <w:rPr>
                <w:sz w:val="18"/>
                <w:szCs w:val="18"/>
                <w:color w:val="auto"/>
              </w:rPr>
            </w:pPr>
          </w:p>
        </w:tc>
        <w:tc>
          <w:tcPr>
            <w:tcW w:w="108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(3,273)</w:t>
            </w: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Business acquisition, net of cash assumed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(7,073)</w:t>
            </w:r>
          </w:p>
        </w:tc>
      </w:tr>
      <w:tr>
        <w:trPr>
          <w:trHeight w:val="210"/>
        </w:trPr>
        <w:tc>
          <w:tcPr>
            <w:tcW w:w="6520" w:type="dxa"/>
            <w:vAlign w:val="bottom"/>
            <w:tcBorders>
              <w:top w:val="single" w:sz="8" w:color="D5E6F7"/>
            </w:tcBorders>
            <w:shd w:val="clear" w:color="auto" w:fill="D5E6F7"/>
          </w:tcPr>
          <w:p>
            <w:pPr>
              <w:ind w:left="26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300" w:type="dxa"/>
            <w:vAlign w:val="bottom"/>
            <w:tcBorders>
              <w:top w:val="single" w:sz="8" w:color="D5E6F7"/>
            </w:tcBorders>
            <w:shd w:val="clear" w:color="auto" w:fill="D5E6F7"/>
          </w:tcPr>
          <w:p>
            <w:pPr>
              <w:spacing w:after="0"/>
              <w:rPr>
                <w:sz w:val="18"/>
                <w:szCs w:val="18"/>
                <w:color w:val="auto"/>
              </w:rPr>
            </w:pPr>
          </w:p>
        </w:tc>
        <w:tc>
          <w:tcPr>
            <w:tcW w:w="280" w:type="dxa"/>
            <w:vAlign w:val="bottom"/>
            <w:tcBorders>
              <w:top w:val="single" w:sz="8" w:color="auto"/>
            </w:tcBorders>
            <w:shd w:val="clear" w:color="auto" w:fill="D5E6F7"/>
          </w:tcPr>
          <w:p>
            <w:pPr>
              <w:spacing w:after="0"/>
              <w:rPr>
                <w:sz w:val="18"/>
                <w:szCs w:val="18"/>
                <w:color w:val="auto"/>
              </w:rPr>
            </w:pPr>
          </w:p>
        </w:tc>
        <w:tc>
          <w:tcPr>
            <w:tcW w:w="100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(4,887)</w:t>
            </w:r>
          </w:p>
        </w:tc>
        <w:tc>
          <w:tcPr>
            <w:tcW w:w="260" w:type="dxa"/>
            <w:vAlign w:val="bottom"/>
            <w:tcBorders>
              <w:top w:val="single" w:sz="8" w:color="D5E6F7"/>
            </w:tcBorders>
            <w:shd w:val="clear" w:color="auto" w:fill="D5E6F7"/>
          </w:tcPr>
          <w:p>
            <w:pPr>
              <w:spacing w:after="0"/>
              <w:rPr>
                <w:sz w:val="18"/>
                <w:szCs w:val="18"/>
                <w:color w:val="auto"/>
              </w:rPr>
            </w:pPr>
          </w:p>
        </w:tc>
        <w:tc>
          <w:tcPr>
            <w:tcW w:w="280" w:type="dxa"/>
            <w:vAlign w:val="bottom"/>
            <w:tcBorders>
              <w:top w:val="single" w:sz="8" w:color="auto"/>
            </w:tcBorders>
            <w:shd w:val="clear" w:color="auto" w:fill="D5E6F7"/>
          </w:tcPr>
          <w:p>
            <w:pPr>
              <w:spacing w:after="0"/>
              <w:rPr>
                <w:sz w:val="18"/>
                <w:szCs w:val="18"/>
                <w:color w:val="auto"/>
              </w:rPr>
            </w:pPr>
          </w:p>
        </w:tc>
        <w:tc>
          <w:tcPr>
            <w:tcW w:w="9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top w:val="single" w:sz="8" w:color="D5E6F7"/>
            </w:tcBorders>
            <w:shd w:val="clear" w:color="auto" w:fill="D5E6F7"/>
          </w:tcPr>
          <w:p>
            <w:pPr>
              <w:spacing w:after="0"/>
              <w:rPr>
                <w:sz w:val="18"/>
                <w:szCs w:val="18"/>
                <w:color w:val="auto"/>
              </w:rPr>
            </w:pPr>
          </w:p>
        </w:tc>
        <w:tc>
          <w:tcPr>
            <w:tcW w:w="300" w:type="dxa"/>
            <w:vAlign w:val="bottom"/>
            <w:tcBorders>
              <w:top w:val="single" w:sz="8" w:color="auto"/>
            </w:tcBorders>
            <w:shd w:val="clear" w:color="auto" w:fill="D5E6F7"/>
          </w:tcPr>
          <w:p>
            <w:pPr>
              <w:spacing w:after="0"/>
              <w:rPr>
                <w:sz w:val="18"/>
                <w:szCs w:val="18"/>
                <w:color w:val="auto"/>
              </w:rPr>
            </w:pPr>
          </w:p>
        </w:tc>
        <w:tc>
          <w:tcPr>
            <w:tcW w:w="9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Borders>
              <w:top w:val="single" w:sz="8" w:color="D5E6F7"/>
            </w:tcBorders>
            <w:shd w:val="clear" w:color="auto" w:fill="D5E6F7"/>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8"/>
                <w:szCs w:val="18"/>
                <w:color w:val="auto"/>
              </w:rPr>
            </w:pP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Shares repurchased for tax withholdings on vesting of RSUs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26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(2,105)</w:t>
            </w:r>
          </w:p>
        </w:tc>
        <w:tc>
          <w:tcPr>
            <w:tcW w:w="280" w:type="dxa"/>
            <w:vAlign w:val="bottom"/>
            <w:shd w:val="clear" w:color="auto" w:fill="D5E6F7"/>
          </w:tcPr>
          <w:p>
            <w:pPr>
              <w:spacing w:after="0"/>
              <w:rPr>
                <w:sz w:val="18"/>
                <w:szCs w:val="18"/>
                <w:color w:val="auto"/>
              </w:rPr>
            </w:pPr>
          </w:p>
        </w:tc>
        <w:tc>
          <w:tcPr>
            <w:tcW w:w="1220" w:type="dxa"/>
            <w:vAlign w:val="bottom"/>
            <w:gridSpan w:val="2"/>
            <w:shd w:val="clear" w:color="auto" w:fill="D5E6F7"/>
          </w:tcPr>
          <w:p>
            <w:pPr>
              <w:jc w:val="right"/>
              <w:ind w:right="200"/>
              <w:spacing w:after="0"/>
              <w:rPr>
                <w:sz w:val="20"/>
                <w:szCs w:val="20"/>
                <w:color w:val="auto"/>
              </w:rPr>
            </w:pPr>
            <w:r>
              <w:rPr>
                <w:rFonts w:ascii="Arial" w:cs="Arial" w:eastAsia="Arial" w:hAnsi="Arial"/>
                <w:sz w:val="18"/>
                <w:szCs w:val="18"/>
                <w:color w:val="auto"/>
              </w:rPr>
              <w:t>(1,641)</w:t>
            </w:r>
          </w:p>
        </w:tc>
        <w:tc>
          <w:tcPr>
            <w:tcW w:w="300" w:type="dxa"/>
            <w:vAlign w:val="bottom"/>
            <w:shd w:val="clear" w:color="auto" w:fill="D5E6F7"/>
          </w:tcPr>
          <w:p>
            <w:pPr>
              <w:spacing w:after="0"/>
              <w:rPr>
                <w:sz w:val="18"/>
                <w:szCs w:val="18"/>
                <w:color w:val="auto"/>
              </w:rPr>
            </w:pPr>
          </w:p>
        </w:tc>
        <w:tc>
          <w:tcPr>
            <w:tcW w:w="108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(1,523)</w:t>
            </w:r>
          </w:p>
        </w:tc>
      </w:tr>
      <w:tr>
        <w:trPr>
          <w:trHeight w:val="216"/>
        </w:trPr>
        <w:tc>
          <w:tcPr>
            <w:tcW w:w="6520" w:type="dxa"/>
            <w:vAlign w:val="bottom"/>
          </w:tcPr>
          <w:p>
            <w:pPr>
              <w:ind w:left="140"/>
              <w:spacing w:after="0"/>
              <w:rPr>
                <w:sz w:val="20"/>
                <w:szCs w:val="20"/>
                <w:color w:val="auto"/>
              </w:rPr>
            </w:pPr>
            <w:r>
              <w:rPr>
                <w:rFonts w:ascii="Arial" w:cs="Arial" w:eastAsia="Arial" w:hAnsi="Arial"/>
                <w:sz w:val="16"/>
                <w:szCs w:val="16"/>
                <w:color w:val="auto"/>
              </w:rPr>
              <w:t>Payment of credit facility issuance costs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D5E6F7"/>
          </w:tcPr>
          <w:p>
            <w:pPr>
              <w:ind w:left="140"/>
              <w:spacing w:after="0"/>
              <w:rPr>
                <w:sz w:val="20"/>
                <w:szCs w:val="20"/>
                <w:color w:val="auto"/>
              </w:rPr>
            </w:pPr>
            <w:r>
              <w:rPr>
                <w:rFonts w:ascii="Arial" w:cs="Arial" w:eastAsia="Arial" w:hAnsi="Arial"/>
                <w:sz w:val="16"/>
                <w:szCs w:val="16"/>
                <w:color w:val="auto"/>
              </w:rPr>
              <w:t>Payment of acquisition-related costs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260" w:type="dxa"/>
            <w:vAlign w:val="bottom"/>
            <w:gridSpan w:val="2"/>
            <w:shd w:val="clear" w:color="auto" w:fill="D5E6F7"/>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8"/>
                <w:szCs w:val="18"/>
                <w:color w:val="auto"/>
              </w:rPr>
            </w:pPr>
          </w:p>
        </w:tc>
        <w:tc>
          <w:tcPr>
            <w:tcW w:w="1220" w:type="dxa"/>
            <w:vAlign w:val="bottom"/>
            <w:gridSpan w:val="2"/>
            <w:shd w:val="clear" w:color="auto" w:fill="D5E6F7"/>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D5E6F7"/>
          </w:tcPr>
          <w:p>
            <w:pPr>
              <w:spacing w:after="0"/>
              <w:rPr>
                <w:sz w:val="18"/>
                <w:szCs w:val="18"/>
                <w:color w:val="auto"/>
              </w:rPr>
            </w:pPr>
          </w:p>
        </w:tc>
        <w:tc>
          <w:tcPr>
            <w:tcW w:w="108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(420)</w:t>
            </w:r>
          </w:p>
        </w:tc>
      </w:tr>
      <w:tr>
        <w:trPr>
          <w:trHeight w:val="209"/>
        </w:trPr>
        <w:tc>
          <w:tcPr>
            <w:tcW w:w="6520" w:type="dxa"/>
            <w:vAlign w:val="bottom"/>
            <w:tcBorders>
              <w:bottom w:val="single" w:sz="8" w:color="D5E6F7"/>
            </w:tcBorders>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300" w:type="dxa"/>
            <w:vAlign w:val="bottom"/>
            <w:tcBorders>
              <w:bottom w:val="single" w:sz="8" w:color="D5E6F7"/>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Borders>
              <w:bottom w:val="single" w:sz="8" w:color="D5E6F7"/>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60" w:type="dxa"/>
            <w:vAlign w:val="bottom"/>
            <w:tcBorders>
              <w:bottom w:val="single" w:sz="8" w:color="D5E6F7"/>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D5E6F7"/>
            </w:tcBorders>
          </w:tcPr>
          <w:p>
            <w:pPr>
              <w:spacing w:after="0"/>
              <w:rPr>
                <w:sz w:val="18"/>
                <w:szCs w:val="18"/>
                <w:color w:val="auto"/>
              </w:rPr>
            </w:pPr>
          </w:p>
        </w:tc>
      </w:tr>
      <w:tr>
        <w:trPr>
          <w:trHeight w:val="210"/>
        </w:trPr>
        <w:tc>
          <w:tcPr>
            <w:tcW w:w="6520" w:type="dxa"/>
            <w:vAlign w:val="bottom"/>
            <w:shd w:val="clear" w:color="auto" w:fill="D5E6F7"/>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2,369</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5,618</w:t>
            </w: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D5E6F7"/>
          </w:tcPr>
          <w:p>
            <w:pPr>
              <w:spacing w:after="0"/>
              <w:rPr>
                <w:sz w:val="18"/>
                <w:szCs w:val="18"/>
                <w:color w:val="auto"/>
              </w:rPr>
            </w:pPr>
          </w:p>
        </w:tc>
      </w:tr>
      <w:tr>
        <w:trPr>
          <w:trHeight w:val="216"/>
        </w:trPr>
        <w:tc>
          <w:tcPr>
            <w:tcW w:w="6520" w:type="dxa"/>
            <w:vAlign w:val="bottom"/>
            <w:tcBorders>
              <w:bottom w:val="single" w:sz="8" w:color="D5E6F7"/>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17,298</w:t>
            </w:r>
          </w:p>
        </w:tc>
        <w:tc>
          <w:tcPr>
            <w:tcW w:w="26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w:t>
            </w:r>
          </w:p>
        </w:tc>
        <w:tc>
          <w:tcPr>
            <w:tcW w:w="26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D5E6F7"/>
            </w:tcBorders>
          </w:tcPr>
          <w:p>
            <w:pPr>
              <w:spacing w:after="0"/>
              <w:rPr>
                <w:sz w:val="18"/>
                <w:szCs w:val="18"/>
                <w:color w:val="auto"/>
              </w:rPr>
            </w:pPr>
          </w:p>
        </w:tc>
      </w:tr>
      <w:tr>
        <w:trPr>
          <w:trHeight w:val="209"/>
        </w:trPr>
        <w:tc>
          <w:tcPr>
            <w:tcW w:w="652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19,667</w:t>
            </w:r>
          </w:p>
        </w:tc>
        <w:tc>
          <w:tcPr>
            <w:tcW w:w="26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17,298</w:t>
            </w:r>
          </w:p>
        </w:tc>
        <w:tc>
          <w:tcPr>
            <w:tcW w:w="260" w:type="dxa"/>
            <w:vAlign w:val="bottom"/>
            <w:tcBorders>
              <w:bottom w:val="single" w:sz="8" w:color="D5E6F7"/>
            </w:tcBorders>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11,680</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D5E6F7"/>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39"/>
        </w:trPr>
        <w:tc>
          <w:tcPr>
            <w:tcW w:w="6520" w:type="dxa"/>
            <w:vAlign w:val="bottom"/>
          </w:tcPr>
          <w:p>
            <w:pPr>
              <w:ind w:left="140"/>
              <w:spacing w:after="0"/>
              <w:rPr>
                <w:sz w:val="20"/>
                <w:szCs w:val="20"/>
                <w:color w:val="auto"/>
              </w:rPr>
            </w:pPr>
            <w:r>
              <w:rPr>
                <w:rFonts w:ascii="Arial" w:cs="Arial" w:eastAsia="Arial" w:hAnsi="Arial"/>
                <w:sz w:val="16"/>
                <w:szCs w:val="16"/>
                <w:color w:val="auto"/>
              </w:rPr>
              <w:t>Capital expenditures included in accounts payable at period-end</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25"/>
          <w:szCs w:val="25"/>
          <w:b w:val="1"/>
          <w:bCs w:val="1"/>
          <w:color w:val="003A5D"/>
        </w:rPr>
        <w:t>Note 1: Overview and Basis of Presentation</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Ooma, Inc. and its wholly-owned subsidiaries (collectively, “Ooma” or the “Company”) provides leading communications services and related technologies for businesses and consumers, delivered from its smart cloud-based SaaS and unified communications platforms. The Company is headquartered in Sunnyvale, California.</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003A5D"/>
        </w:rPr>
        <w:t xml:space="preserve">Principles of Presentation and Consolidation. </w:t>
      </w:r>
      <w:r>
        <w:rPr>
          <w:rFonts w:ascii="Arial" w:cs="Arial" w:eastAsia="Arial" w:hAnsi="Arial"/>
          <w:sz w:val="18"/>
          <w:szCs w:val="18"/>
          <w:color w:val="000000"/>
        </w:rPr>
        <w:t>The accompanying consolidated financial statements have been prepared in accordance</w:t>
      </w:r>
      <w:r>
        <w:rPr>
          <w:rFonts w:ascii="Arial" w:cs="Arial" w:eastAsia="Arial" w:hAnsi="Arial"/>
          <w:sz w:val="18"/>
          <w:szCs w:val="18"/>
          <w:b w:val="1"/>
          <w:bCs w:val="1"/>
          <w:color w:val="003A5D"/>
        </w:rPr>
        <w:t xml:space="preserve"> </w:t>
      </w:r>
      <w:r>
        <w:rPr>
          <w:rFonts w:ascii="Arial" w:cs="Arial" w:eastAsia="Arial" w:hAnsi="Arial"/>
          <w:sz w:val="18"/>
          <w:szCs w:val="18"/>
          <w:color w:val="000000"/>
        </w:rPr>
        <w:t>with U.S. generally accepted accounting principles (“GAAP”) and include the accounts of the Company and its wholly owned subsidiaries. All intercompany transactions and balances have been eliminated in consolidation. In the opinion of the Company’s management, the consolidated financial statements reflect all adjustments, which are normal and recurring in nature, necessary for fair financial statement presentation.</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003A5D"/>
        </w:rPr>
        <w:t xml:space="preserve">Fiscal Year. </w:t>
      </w:r>
      <w:r>
        <w:rPr>
          <w:rFonts w:ascii="Arial" w:cs="Arial" w:eastAsia="Arial" w:hAnsi="Arial"/>
          <w:sz w:val="18"/>
          <w:szCs w:val="18"/>
          <w:color w:val="000000"/>
        </w:rPr>
        <w:t>The Company’s fiscal year ends on January 31. References to fiscal 2022, fiscal 2021 and fiscal 2020 refer to the fiscal years</w:t>
      </w:r>
      <w:r>
        <w:rPr>
          <w:rFonts w:ascii="Arial" w:cs="Arial" w:eastAsia="Arial" w:hAnsi="Arial"/>
          <w:sz w:val="18"/>
          <w:szCs w:val="18"/>
          <w:b w:val="1"/>
          <w:bCs w:val="1"/>
          <w:color w:val="003A5D"/>
        </w:rPr>
        <w:t xml:space="preserve"> </w:t>
      </w:r>
      <w:r>
        <w:rPr>
          <w:rFonts w:ascii="Arial" w:cs="Arial" w:eastAsia="Arial" w:hAnsi="Arial"/>
          <w:sz w:val="18"/>
          <w:szCs w:val="18"/>
          <w:color w:val="000000"/>
        </w:rPr>
        <w:t>ended January 31, 2022, January 31, 2021 and January 31, 2020, respectively.</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003A5D"/>
        </w:rPr>
        <w:t xml:space="preserve">Use of Estimates. </w:t>
      </w:r>
      <w:r>
        <w:rPr>
          <w:rFonts w:ascii="Arial" w:cs="Arial" w:eastAsia="Arial" w:hAnsi="Arial"/>
          <w:sz w:val="18"/>
          <w:szCs w:val="18"/>
          <w:color w:val="000000"/>
        </w:rPr>
        <w:t>The preparation of financial statements in conformity with GAAP requires management to make estimates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assumptions that affect the amounts reported in the Company’s consolidated financial statements and accompanying notes. Significant estimates include, but are not limited to, those related to revenue recognition, inventory valuation, deferred sales commissions, valuation of goodwill and intangible assets, operating lease assets and liabilities, regulatory fees and indirect tax accruals, loss contingencies, stock-based compensation and income taxes (including valuation allowances). The Company bases its estimates and assumptions on historical experience, where applicable, and other factors that it believes to be reasonable under the circumstances. These estimates are based on information available as of the date of the consolidated financial statements, and assumptions are inherently subjective in nature. Therefore, actual results could differ from management’s estimates.</w:t>
      </w:r>
    </w:p>
    <w:p>
      <w:pPr>
        <w:spacing w:after="0" w:line="12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003A5D"/>
        </w:rPr>
        <w:t xml:space="preserve">Comprehensive Loss. </w:t>
      </w:r>
      <w:r>
        <w:rPr>
          <w:rFonts w:ascii="Arial" w:cs="Arial" w:eastAsia="Arial" w:hAnsi="Arial"/>
          <w:sz w:val="18"/>
          <w:szCs w:val="18"/>
          <w:color w:val="000000"/>
        </w:rPr>
        <w:t>For all periods presented, comprehensive loss approximated net loss in the consolidated statements of operations</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differences were not material. Therefore, the Consolidated Statements of Comprehensive Loss have been omitted.</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003A5D"/>
        </w:rPr>
        <w:t xml:space="preserve">Segment Reporting. </w:t>
      </w:r>
      <w:r>
        <w:rPr>
          <w:rFonts w:ascii="Arial" w:cs="Arial" w:eastAsia="Arial" w:hAnsi="Arial"/>
          <w:sz w:val="18"/>
          <w:szCs w:val="18"/>
          <w:color w:val="000000"/>
        </w:rPr>
        <w:t>The chief operating decision maker for the Company is the chief executive officer, who reviews the Company’s</w:t>
      </w:r>
      <w:r>
        <w:rPr>
          <w:rFonts w:ascii="Arial" w:cs="Arial" w:eastAsia="Arial" w:hAnsi="Arial"/>
          <w:sz w:val="18"/>
          <w:szCs w:val="18"/>
          <w:b w:val="1"/>
          <w:bCs w:val="1"/>
          <w:color w:val="003A5D"/>
        </w:rPr>
        <w:t xml:space="preserve"> </w:t>
      </w:r>
      <w:r>
        <w:rPr>
          <w:rFonts w:ascii="Arial" w:cs="Arial" w:eastAsia="Arial" w:hAnsi="Arial"/>
          <w:sz w:val="18"/>
          <w:szCs w:val="18"/>
          <w:color w:val="000000"/>
        </w:rPr>
        <w:t>financial information presented on a consolidated basis for purposes of allocating resources and evaluating financial performance. Accordingly, management has determined that the Company operates in a single reportable segment.</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Revenue was principally derived from customers located in the United States for all periods presented, with a small portion attributable to customers located in Canada and other countries. Long-lived assets located outside of the United States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7" w:name="page68"/>
    <w:bookmarkEnd w:id="67"/>
    <w:p>
      <w:pPr>
        <w:spacing w:after="0"/>
        <w:rPr>
          <w:sz w:val="20"/>
          <w:szCs w:val="20"/>
          <w:color w:val="auto"/>
        </w:rPr>
      </w:pPr>
      <w:r>
        <w:rPr>
          <w:rFonts w:ascii="Arial" w:cs="Arial" w:eastAsia="Arial" w:hAnsi="Arial"/>
          <w:sz w:val="25"/>
          <w:szCs w:val="25"/>
          <w:b w:val="1"/>
          <w:bCs w:val="1"/>
          <w:color w:val="003A5D"/>
        </w:rPr>
        <w:t>Note 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Revenue Recognition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derives its revenue from two sources: (1) subscription and services revenue, which is derived primarily from the sale of subscription plans for communications services and other connected services; and (2) product and other revenue. Subscriptions and services are sold directly to end-customers. Products are sold to end-customers through several channels, including but not limited to distributors, retailers and resellers (collectively “channel partners”), and Ooma sales representatives.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7" w:lineRule="exact"/>
        <w:rPr>
          <w:sz w:val="20"/>
          <w:szCs w:val="20"/>
          <w:color w:val="auto"/>
        </w:rPr>
      </w:pPr>
    </w:p>
    <w:p>
      <w:pPr>
        <w:ind w:left="880" w:hanging="508"/>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identification of the contract(s) with a customer;</w:t>
      </w:r>
    </w:p>
    <w:p>
      <w:pPr>
        <w:spacing w:after="0" w:line="13"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identification of the performance obligations in the contract;</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of the transaction price;</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1"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003A5D"/>
        </w:rPr>
        <w:t xml:space="preserve">Subscription and Services Revenue. </w:t>
      </w:r>
      <w:r>
        <w:rPr>
          <w:rFonts w:ascii="Arial" w:cs="Arial" w:eastAsia="Arial" w:hAnsi="Arial"/>
          <w:sz w:val="18"/>
          <w:szCs w:val="18"/>
          <w:color w:val="000000"/>
        </w:rPr>
        <w:t>Most of the Company’s revenue is derived from recurring subscription fees related to service plans such</w:t>
      </w:r>
      <w:r>
        <w:rPr>
          <w:rFonts w:ascii="Arial" w:cs="Arial" w:eastAsia="Arial" w:hAnsi="Arial"/>
          <w:sz w:val="18"/>
          <w:szCs w:val="18"/>
          <w:i w:val="1"/>
          <w:iCs w:val="1"/>
          <w:color w:val="003A5D"/>
        </w:rPr>
        <w:t xml:space="preserve"> </w:t>
      </w:r>
      <w:r>
        <w:rPr>
          <w:rFonts w:ascii="Arial" w:cs="Arial" w:eastAsia="Arial" w:hAnsi="Arial"/>
          <w:sz w:val="18"/>
          <w:szCs w:val="18"/>
          <w:color w:val="000000"/>
        </w:rPr>
        <w:t>as Ooma Business, Ooma Residential and other communications services. Service plans are generally sold as monthly subscriptions; however, certain plans are also offered as annual or multi-year subscriptions. Subscription revenue is generally recognized ratably over the contractual service term. A small portion of total revenue is recognized on a point-in-time basis from services such as: prepaid international calls, directory assistance, and advertisements displayed through its Talkatone mobile application.</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003A5D"/>
        </w:rPr>
        <w:t xml:space="preserve">Product and Other Revenue. </w:t>
      </w:r>
      <w:r>
        <w:rPr>
          <w:rFonts w:ascii="Arial" w:cs="Arial" w:eastAsia="Arial" w:hAnsi="Arial"/>
          <w:sz w:val="18"/>
          <w:szCs w:val="18"/>
          <w:color w:val="000000"/>
        </w:rPr>
        <w:t>Product and other revenue is generated primarily from the sale of on-premise devices and end-point devices,</w:t>
      </w:r>
      <w:r>
        <w:rPr>
          <w:rFonts w:ascii="Arial" w:cs="Arial" w:eastAsia="Arial" w:hAnsi="Arial"/>
          <w:sz w:val="18"/>
          <w:szCs w:val="18"/>
          <w:i w:val="1"/>
          <w:iCs w:val="1"/>
          <w:color w:val="003A5D"/>
        </w:rPr>
        <w:t xml:space="preserve"> </w:t>
      </w:r>
      <w:r>
        <w:rPr>
          <w:rFonts w:ascii="Arial" w:cs="Arial" w:eastAsia="Arial" w:hAnsi="Arial"/>
          <w:sz w:val="18"/>
          <w:szCs w:val="18"/>
          <w:color w:val="000000"/>
        </w:rPr>
        <w:t>and to a lesser extent from porting fees that enable customers to transfer their existing phone numbers. The Company recognizes product and other revenue from sales to direct end-customers and channel partners at the point-in-time that control transfers, which is typically when it delivers the product. The Company’s distribution agreements with channel partners typically contain clauses for price protection and right of return. Credits and/or rebates issued for expected product returns and customer sales incentives are deemed to be variable consideration, which the Company estimates and records as a reduction to revenue at the point of sale. Product returns and sales incentives are estimated based on the Company’s historical experience, current trends and expectations regarding future experience. As of January 31, 2022 and 2021, total reserves for product returns and sales incentives were approximately $1.2 million and $1.1 million, respectively.</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is recorded net of any sales and telecommunications taxes collected from customers to be remitted to government authorities. Amounts billed to customers related to shipping and handling are classified as product and other revenue. Shipping and handling costs are expensed as incurred and classified as cost of revenue.</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003A5D"/>
        </w:rPr>
        <w:t xml:space="preserve">Multiple performance obligations. </w:t>
      </w:r>
      <w:r>
        <w:rPr>
          <w:rFonts w:ascii="Arial" w:cs="Arial" w:eastAsia="Arial" w:hAnsi="Arial"/>
          <w:sz w:val="18"/>
          <w:szCs w:val="18"/>
          <w:color w:val="000000"/>
        </w:rPr>
        <w:t>The Company’s contracts with customers typically contain multiple performance obligations that consist of</w:t>
      </w:r>
      <w:r>
        <w:rPr>
          <w:rFonts w:ascii="Arial" w:cs="Arial" w:eastAsia="Arial" w:hAnsi="Arial"/>
          <w:sz w:val="18"/>
          <w:szCs w:val="18"/>
          <w:i w:val="1"/>
          <w:iCs w:val="1"/>
          <w:color w:val="003A5D"/>
        </w:rPr>
        <w:t xml:space="preserve"> </w:t>
      </w:r>
      <w:r>
        <w:rPr>
          <w:rFonts w:ascii="Arial" w:cs="Arial" w:eastAsia="Arial" w:hAnsi="Arial"/>
          <w:sz w:val="18"/>
          <w:szCs w:val="18"/>
          <w:color w:val="000000"/>
        </w:rPr>
        <w:t>communications services and related product(s). For these contracts, individual performance obligations are accounted for separately if they are distinct. The contract transaction price is then allocated to the separate performance obligations on a relative stand-alone selling price basis. The Company determines the SSP for its communications services based on observable historical stand-alone sales to customers, for which a substantial majority of selling prices must fall within a reasonably narrow pricing range. The Company determines the SSP for its on-premise devices and end-point devices based upon management’s best estimates and judgments, considering company-specific factors such as pricing strategies, discounting practices, and estimated product and other costs.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Cash Equivalents and Short-term Investments. </w:t>
      </w:r>
      <w:r>
        <w:rPr>
          <w:rFonts w:ascii="Arial" w:cs="Arial" w:eastAsia="Arial" w:hAnsi="Arial"/>
          <w:sz w:val="18"/>
          <w:szCs w:val="18"/>
          <w:color w:val="000000"/>
        </w:rPr>
        <w:t>All highly liquid investments with an original maturity of three months or less at the date of</w:t>
      </w:r>
      <w:r>
        <w:rPr>
          <w:rFonts w:ascii="Arial" w:cs="Arial" w:eastAsia="Arial" w:hAnsi="Arial"/>
          <w:sz w:val="18"/>
          <w:szCs w:val="18"/>
          <w:b w:val="1"/>
          <w:bCs w:val="1"/>
          <w:color w:val="003A5D"/>
        </w:rPr>
        <w:t xml:space="preserve"> </w:t>
      </w:r>
      <w:r>
        <w:rPr>
          <w:rFonts w:ascii="Arial" w:cs="Arial" w:eastAsia="Arial" w:hAnsi="Arial"/>
          <w:sz w:val="18"/>
          <w:szCs w:val="18"/>
          <w:color w:val="000000"/>
        </w:rPr>
        <w:t>purchase are classified as cash equivalents. Short-term investments are classified as available-for-sale and carried at fair value, with unrealized gains and losses, net of tax, recorded as a separate component of stockholders’ equity within accumulated other comprehensive (loss) income. The cost of securities sold is based upon the specific identification method.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18"/>
          <w:szCs w:val="18"/>
          <w:b w:val="1"/>
          <w:bCs w:val="1"/>
          <w:color w:val="003A5D"/>
        </w:rPr>
        <w:t xml:space="preserve">Fair Value of Financial Instruments. </w:t>
      </w:r>
      <w:r>
        <w:rPr>
          <w:rFonts w:ascii="Arial" w:cs="Arial" w:eastAsia="Arial" w:hAnsi="Arial"/>
          <w:sz w:val="18"/>
          <w:szCs w:val="18"/>
          <w:color w:val="000000"/>
        </w:rPr>
        <w:t>The Company records its financial assets and liabilities at fair value. Fair value is defined as the price</w:t>
      </w:r>
      <w:r>
        <w:rPr>
          <w:rFonts w:ascii="Arial" w:cs="Arial" w:eastAsia="Arial" w:hAnsi="Arial"/>
          <w:sz w:val="18"/>
          <w:szCs w:val="18"/>
          <w:b w:val="1"/>
          <w:bCs w:val="1"/>
          <w:color w:val="003A5D"/>
        </w:rPr>
        <w:t xml:space="preserve"> </w:t>
      </w:r>
      <w:r>
        <w:rPr>
          <w:rFonts w:ascii="Arial" w:cs="Arial" w:eastAsia="Arial" w:hAnsi="Arial"/>
          <w:sz w:val="18"/>
          <w:szCs w:val="18"/>
          <w:color w:val="000000"/>
        </w:rPr>
        <w:t>that would be received to sell an asset or paid to transfer a liability in an orderly transaction between market participants at the reporting date. The Company estimates and categorizes the fair value of its financial assets by applying the following hierarchy: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(unadjusted) for identical assets or liabilities in active markets.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prices based on inputs not quoted in active markets but are corroborated by market data.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supported by little or no market activity</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carrying value of the Company’s financial instruments, including cash equivalents, accounts receivable, inventory, accounts payable and other current assets and current liabilities approximates fair value due to their short maturities.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003A5D"/>
        </w:rPr>
        <w:t xml:space="preserve">Concentrations. </w:t>
      </w:r>
      <w:r>
        <w:rPr>
          <w:rFonts w:ascii="Arial" w:cs="Arial" w:eastAsia="Arial" w:hAnsi="Arial"/>
          <w:sz w:val="18"/>
          <w:szCs w:val="18"/>
          <w:color w:val="000000"/>
        </w:rPr>
        <w:t>Financial instruments that potentially subject the Company to concentrations of credit risk consist primarily of cash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cash equivalents, short-term investments, accounts receivable and convertible note receivable (Note 5). The Company’s cash, cash equivalents and short-term investments are held by financial institutions that management believes are of high-credit quality although the balances, at times, may exceed federally insured limits. The Company performs credit evaluations of its customers’ financial condition and generally does not require collateral for sales made on credit.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Customers who represented 10% or more of net accounts receivable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60"/>
        </w:trPr>
        <w:tc>
          <w:tcPr>
            <w:tcW w:w="7720" w:type="dxa"/>
            <w:vAlign w:val="bottom"/>
          </w:tcPr>
          <w:p>
            <w:pPr>
              <w:spacing w:after="0"/>
              <w:rPr>
                <w:sz w:val="13"/>
                <w:szCs w:val="13"/>
                <w:color w:val="auto"/>
              </w:rPr>
            </w:pPr>
          </w:p>
        </w:tc>
        <w:tc>
          <w:tcPr>
            <w:tcW w:w="1360" w:type="dxa"/>
            <w:vAlign w:val="bottom"/>
          </w:tcPr>
          <w:p>
            <w:pPr>
              <w:ind w:left="400"/>
              <w:spacing w:after="0" w:line="160" w:lineRule="exact"/>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ind w:left="380"/>
              <w:spacing w:after="0" w:line="160" w:lineRule="exact"/>
              <w:rPr>
                <w:sz w:val="20"/>
                <w:szCs w:val="20"/>
                <w:color w:val="auto"/>
              </w:rPr>
            </w:pPr>
            <w:r>
              <w:rPr>
                <w:rFonts w:ascii="Arial" w:cs="Arial" w:eastAsia="Arial" w:hAnsi="Arial"/>
                <w:sz w:val="14"/>
                <w:szCs w:val="14"/>
                <w:b w:val="1"/>
                <w:bCs w:val="1"/>
                <w:color w:val="auto"/>
              </w:rPr>
              <w:t>January 31,</w:t>
            </w:r>
          </w:p>
        </w:tc>
      </w:tr>
      <w:tr>
        <w:trPr>
          <w:trHeight w:val="171"/>
        </w:trPr>
        <w:tc>
          <w:tcPr>
            <w:tcW w:w="7720" w:type="dxa"/>
            <w:vAlign w:val="bottom"/>
          </w:tcPr>
          <w:p>
            <w:pPr>
              <w:spacing w:after="0"/>
              <w:rPr>
                <w:sz w:val="14"/>
                <w:szCs w:val="14"/>
                <w:color w:val="auto"/>
              </w:rPr>
            </w:pPr>
          </w:p>
        </w:tc>
        <w:tc>
          <w:tcPr>
            <w:tcW w:w="1360" w:type="dxa"/>
            <w:vAlign w:val="bottom"/>
          </w:tcPr>
          <w:p>
            <w:pPr>
              <w:jc w:val="center"/>
              <w:ind w:left="157"/>
              <w:spacing w:after="0"/>
              <w:rPr>
                <w:sz w:val="20"/>
                <w:szCs w:val="20"/>
                <w:color w:val="auto"/>
              </w:rPr>
            </w:pPr>
            <w:r>
              <w:rPr>
                <w:rFonts w:ascii="Arial" w:cs="Arial" w:eastAsia="Arial" w:hAnsi="Arial"/>
                <w:sz w:val="14"/>
                <w:szCs w:val="14"/>
                <w:b w:val="1"/>
                <w:bCs w:val="1"/>
                <w:color w:val="auto"/>
              </w:rPr>
              <w:t>2022</w:t>
            </w:r>
          </w:p>
        </w:tc>
        <w:tc>
          <w:tcPr>
            <w:tcW w:w="206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2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Customer A</w:t>
            </w:r>
          </w:p>
        </w:tc>
        <w:tc>
          <w:tcPr>
            <w:tcW w:w="1360" w:type="dxa"/>
            <w:vAlign w:val="bottom"/>
            <w:tcBorders>
              <w:top w:val="single" w:sz="8" w:color="auto"/>
            </w:tcBorders>
            <w:shd w:val="clear" w:color="auto" w:fill="D5E6F7"/>
          </w:tcPr>
          <w:p>
            <w:pPr>
              <w:jc w:val="center"/>
              <w:ind w:left="157"/>
              <w:spacing w:after="0"/>
              <w:rPr>
                <w:sz w:val="20"/>
                <w:szCs w:val="20"/>
                <w:color w:val="auto"/>
              </w:rPr>
            </w:pPr>
            <w:r>
              <w:rPr>
                <w:rFonts w:ascii="Arial" w:cs="Arial" w:eastAsia="Arial" w:hAnsi="Arial"/>
                <w:sz w:val="18"/>
                <w:szCs w:val="18"/>
                <w:color w:val="auto"/>
                <w:w w:val="99"/>
              </w:rPr>
              <w:t>19%</w:t>
            </w:r>
          </w:p>
        </w:tc>
        <w:tc>
          <w:tcPr>
            <w:tcW w:w="220" w:type="dxa"/>
            <w:vAlign w:val="bottom"/>
            <w:tcBorders>
              <w:top w:val="single" w:sz="8" w:color="auto"/>
            </w:tcBorders>
            <w:shd w:val="clear" w:color="auto" w:fill="D5E6F7"/>
          </w:tcPr>
          <w:p>
            <w:pPr>
              <w:spacing w:after="0"/>
              <w:rPr>
                <w:sz w:val="18"/>
                <w:szCs w:val="18"/>
                <w:color w:val="auto"/>
              </w:rPr>
            </w:pPr>
          </w:p>
        </w:tc>
        <w:tc>
          <w:tcPr>
            <w:tcW w:w="260" w:type="dxa"/>
            <w:vAlign w:val="bottom"/>
            <w:tcBorders>
              <w:top w:val="single" w:sz="8" w:color="D5E6F7"/>
            </w:tcBorders>
            <w:shd w:val="clear" w:color="auto" w:fill="D5E6F7"/>
          </w:tcPr>
          <w:p>
            <w:pPr>
              <w:spacing w:after="0"/>
              <w:rPr>
                <w:sz w:val="18"/>
                <w:szCs w:val="18"/>
                <w:color w:val="auto"/>
              </w:rPr>
            </w:pPr>
          </w:p>
        </w:tc>
        <w:tc>
          <w:tcPr>
            <w:tcW w:w="1580" w:type="dxa"/>
            <w:vAlign w:val="bottom"/>
            <w:tcBorders>
              <w:top w:val="single" w:sz="8" w:color="auto"/>
            </w:tcBorders>
            <w:shd w:val="clear" w:color="auto" w:fill="D5E6F7"/>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6F7"/>
            </w:tcBorders>
            <w:shd w:val="clear" w:color="auto" w:fill="D5E6F7"/>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Customer B</w:t>
            </w:r>
          </w:p>
        </w:tc>
        <w:tc>
          <w:tcPr>
            <w:tcW w:w="1360" w:type="dxa"/>
            <w:vAlign w:val="bottom"/>
          </w:tcPr>
          <w:p>
            <w:pPr>
              <w:jc w:val="center"/>
              <w:ind w:left="137"/>
              <w:spacing w:after="0"/>
              <w:rPr>
                <w:sz w:val="20"/>
                <w:szCs w:val="20"/>
                <w:color w:val="auto"/>
              </w:rPr>
            </w:pPr>
            <w:r>
              <w:rPr>
                <w:rFonts w:ascii="Arial" w:cs="Arial" w:eastAsia="Arial" w:hAnsi="Arial"/>
                <w:sz w:val="18"/>
                <w:szCs w:val="18"/>
                <w:color w:val="auto"/>
                <w:w w:val="94"/>
              </w:rPr>
              <w:t>11%</w:t>
            </w:r>
          </w:p>
        </w:tc>
        <w:tc>
          <w:tcPr>
            <w:tcW w:w="2060" w:type="dxa"/>
            <w:vAlign w:val="bottom"/>
            <w:gridSpan w:val="3"/>
          </w:tcPr>
          <w:p>
            <w:pPr>
              <w:jc w:val="center"/>
              <w:ind w:left="3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spacing w:after="0"/>
              <w:rPr>
                <w:sz w:val="20"/>
                <w:szCs w:val="20"/>
                <w:color w:val="auto"/>
              </w:rPr>
            </w:pPr>
            <w:r>
              <w:rPr>
                <w:rFonts w:ascii="Arial" w:cs="Arial" w:eastAsia="Arial" w:hAnsi="Arial"/>
                <w:sz w:val="18"/>
                <w:szCs w:val="18"/>
                <w:color w:val="auto"/>
              </w:rPr>
              <w:t>Customer C</w:t>
            </w:r>
          </w:p>
        </w:tc>
        <w:tc>
          <w:tcPr>
            <w:tcW w:w="1360" w:type="dxa"/>
            <w:vAlign w:val="bottom"/>
            <w:shd w:val="clear" w:color="auto" w:fill="D5E6F7"/>
          </w:tcPr>
          <w:p>
            <w:pPr>
              <w:jc w:val="center"/>
              <w:ind w:left="137"/>
              <w:spacing w:after="0"/>
              <w:rPr>
                <w:sz w:val="20"/>
                <w:szCs w:val="20"/>
                <w:color w:val="auto"/>
              </w:rPr>
            </w:pPr>
            <w:r>
              <w:rPr>
                <w:rFonts w:ascii="Arial" w:cs="Arial" w:eastAsia="Arial" w:hAnsi="Arial"/>
                <w:sz w:val="18"/>
                <w:szCs w:val="18"/>
                <w:color w:val="auto"/>
                <w:w w:val="84"/>
              </w:rPr>
              <w:t>*</w:t>
            </w:r>
          </w:p>
        </w:tc>
        <w:tc>
          <w:tcPr>
            <w:tcW w:w="2060" w:type="dxa"/>
            <w:vAlign w:val="bottom"/>
            <w:gridSpan w:val="3"/>
            <w:shd w:val="clear" w:color="auto" w:fill="D5E6F7"/>
          </w:tcPr>
          <w:p>
            <w:pPr>
              <w:jc w:val="center"/>
              <w:ind w:left="379"/>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D5E6F7"/>
          </w:tcPr>
          <w:p>
            <w:pPr>
              <w:spacing w:after="0"/>
              <w:rPr>
                <w:sz w:val="18"/>
                <w:szCs w:val="18"/>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2022 and 2021, these customers accounted for less than 10% of net accounts receivable.</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Accounts Receivable. </w:t>
      </w:r>
      <w:r>
        <w:rPr>
          <w:rFonts w:ascii="Arial" w:cs="Arial" w:eastAsia="Arial" w:hAnsi="Arial"/>
          <w:sz w:val="18"/>
          <w:szCs w:val="18"/>
          <w:color w:val="000000"/>
        </w:rPr>
        <w:t>Accounts receivable are recorded net of an allowance for doubtful accounts for estimated credit losses. Allowances</w:t>
      </w:r>
      <w:r>
        <w:rPr>
          <w:rFonts w:ascii="Arial" w:cs="Arial" w:eastAsia="Arial" w:hAnsi="Arial"/>
          <w:sz w:val="18"/>
          <w:szCs w:val="18"/>
          <w:b w:val="1"/>
          <w:bCs w:val="1"/>
          <w:color w:val="003A5D"/>
        </w:rPr>
        <w:t xml:space="preserve"> </w:t>
      </w:r>
      <w:r>
        <w:rPr>
          <w:rFonts w:ascii="Arial" w:cs="Arial" w:eastAsia="Arial" w:hAnsi="Arial"/>
          <w:sz w:val="18"/>
          <w:szCs w:val="18"/>
          <w:color w:val="000000"/>
        </w:rPr>
        <w:t>are recorded based upon assessment of several factors, including historical experience, aging of receivable balances and economic conditions. As of January 31, 2022 and 2021, the allowance for doubtful accounts was $0.3 million. Bad debt expense recorded in the consolidated statement of operations was not material for the periods presented.</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003A5D"/>
        </w:rPr>
        <w:t xml:space="preserve">Inventories. </w:t>
      </w:r>
      <w:r>
        <w:rPr>
          <w:rFonts w:ascii="Arial" w:cs="Arial" w:eastAsia="Arial" w:hAnsi="Arial"/>
          <w:sz w:val="18"/>
          <w:szCs w:val="18"/>
          <w:color w:val="000000"/>
        </w:rPr>
        <w:t>Inventories, which consist of raw materials and finished goods, include the cost to purchase manufactured products, allocated</w:t>
      </w:r>
      <w:r>
        <w:rPr>
          <w:rFonts w:ascii="Arial" w:cs="Arial" w:eastAsia="Arial" w:hAnsi="Arial"/>
          <w:sz w:val="18"/>
          <w:szCs w:val="18"/>
          <w:b w:val="1"/>
          <w:bCs w:val="1"/>
          <w:color w:val="003A5D"/>
        </w:rPr>
        <w:t xml:space="preserve"> </w:t>
      </w:r>
      <w:r>
        <w:rPr>
          <w:rFonts w:ascii="Arial" w:cs="Arial" w:eastAsia="Arial" w:hAnsi="Arial"/>
          <w:sz w:val="18"/>
          <w:szCs w:val="18"/>
          <w:color w:val="000000"/>
        </w:rPr>
        <w:t>labor and overhead. Inventories are stated at the lower of actual cost and net realizable value on a first-in, first-out basis. The Company writes down the carrying value of inventory to net realizable value for estimated excess and obsolete inventory based upon assumptions about forecast demand and market conditions. Inventory carrying value adjustments are recognized as a component of cost of product and other revenue in the consolidated statement of operations.</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003A5D"/>
        </w:rPr>
        <w:t xml:space="preserve">Customer Acquisition Costs. </w:t>
      </w:r>
      <w:r>
        <w:rPr>
          <w:rFonts w:ascii="Arial" w:cs="Arial" w:eastAsia="Arial" w:hAnsi="Arial"/>
          <w:sz w:val="18"/>
          <w:szCs w:val="18"/>
          <w:color w:val="000000"/>
        </w:rPr>
        <w:t>Sales commissions and other costs paid to internal sales personnel, third-party sales entities and value-added resellers are considered incremental and recoverable costs of obtaining customer contracts. The resellers are selling agents for the Company and earn sales commissions that are directly tied to the value of the contracts that the Company enters with the end-user customers. These costs are capitalized and amortized on a systematic basis over the expected period of benefit of five years, or customer contractual term for multi-year contracts. The Company has determined the period of benefit taking into consideration both qualitative and quantitative factors, such as expected subscription term and expected renewal periods of its customer contracts, product life cycles and customer attrition. Amortization expense is recorded in sales and marketing expenses in the consolidated statement of operations.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pays sales commissions on initial contracts, contracts for increased purchases with existing customers (expansion contracts) and certain contract renewals. The Company periodically evaluates whether there have been any changes in its business, the market conditions in which it operates or other events which would indicate that its amortization period should be changed or if there are potential indicators of impairment. To date, there have been no material impairment losses related to the costs capitalized.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jc w:val="both"/>
        <w:spacing w:after="0" w:line="242" w:lineRule="auto"/>
        <w:rPr>
          <w:sz w:val="20"/>
          <w:szCs w:val="20"/>
          <w:color w:val="auto"/>
        </w:rPr>
      </w:pPr>
      <w:r>
        <w:rPr>
          <w:rFonts w:ascii="Arial" w:cs="Arial" w:eastAsia="Arial" w:hAnsi="Arial"/>
          <w:sz w:val="18"/>
          <w:szCs w:val="18"/>
          <w:b w:val="1"/>
          <w:bCs w:val="1"/>
          <w:color w:val="003A5D"/>
        </w:rPr>
        <w:t xml:space="preserve">Internal-Use Website Development Costs. </w:t>
      </w:r>
      <w:r>
        <w:rPr>
          <w:rFonts w:ascii="Arial" w:cs="Arial" w:eastAsia="Arial" w:hAnsi="Arial"/>
          <w:sz w:val="18"/>
          <w:szCs w:val="18"/>
          <w:color w:val="000000"/>
        </w:rPr>
        <w:t>The Company capitalizes certain costs to develop its customer-facing websites when</w:t>
      </w:r>
      <w:r>
        <w:rPr>
          <w:rFonts w:ascii="Arial" w:cs="Arial" w:eastAsia="Arial" w:hAnsi="Arial"/>
          <w:sz w:val="18"/>
          <w:szCs w:val="18"/>
          <w:b w:val="1"/>
          <w:bCs w:val="1"/>
          <w:color w:val="003A5D"/>
        </w:rPr>
        <w:t xml:space="preserve"> </w:t>
      </w:r>
      <w:r>
        <w:rPr>
          <w:rFonts w:ascii="Arial" w:cs="Arial" w:eastAsia="Arial" w:hAnsi="Arial"/>
          <w:sz w:val="18"/>
          <w:szCs w:val="18"/>
          <w:color w:val="000000"/>
        </w:rPr>
        <w:t>preliminary development efforts are successfully completed, management has authorized and committed project funding, and it is probable that the project will be completed and the software will be used as intended. Such costs primarily include payroll-related costs for engineers and contractors directly associated with the development project. Capitalized website development costs are included in property and equipment and are amortized on a straight-line basis over an estimated useful life of two years. Costs related to preliminary project activities and post-implementation activities are expensed as incurred.</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Property and Equipment, net. </w:t>
      </w:r>
      <w:r>
        <w:rPr>
          <w:rFonts w:ascii="Arial" w:cs="Arial" w:eastAsia="Arial" w:hAnsi="Arial"/>
          <w:sz w:val="18"/>
          <w:szCs w:val="18"/>
          <w:color w:val="000000"/>
        </w:rPr>
        <w:t>Property and equipment, net is stated at cost, less accumulated depreciation and amortization. Depreciation</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amortization is computed on a straight-line basis over the estimated useful lives of those assets, generally two to five years. Leasehold improvements are amortized over the shorter of the lease term or estimated useful lives of the respective assets. Repairs and maintenance costs that do not extend the life or improve the asset are expensed as incurred.</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003A5D"/>
        </w:rPr>
        <w:t xml:space="preserve">Operating Leases. </w:t>
      </w:r>
      <w:r>
        <w:rPr>
          <w:rFonts w:ascii="Arial" w:cs="Arial" w:eastAsia="Arial" w:hAnsi="Arial"/>
          <w:sz w:val="18"/>
          <w:szCs w:val="18"/>
          <w:color w:val="000000"/>
        </w:rPr>
        <w:t>The Company determines if an arrangement is a lease at inception. The Company’s leases primarily consist of office</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data center space and are classified as operating leases. The Company does not have any finance leases nor material arrangements as a lessor. Right-of-use lease assets and lease liabilities are recognized at the lease commencement date based upon the present value of the remaining lease payments over the lease term. The Company uses its incremental borrowing rate based on the information available at the commencement date in determining the present value of lease payments. Lease expense for lease payments is recognized on a straight-line basis over the term of the lease. The accounting lease term may include options to renew or extend when it is reasonably certain that the option will be exercised. Lease agreements that contain both lease and non-lease components are accounted for as a single component. Short-term leases with an initial term of twelve months or less are not recorded on the balance sheet.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Goodwill. </w:t>
      </w:r>
      <w:r>
        <w:rPr>
          <w:rFonts w:ascii="Arial" w:cs="Arial" w:eastAsia="Arial" w:hAnsi="Arial"/>
          <w:sz w:val="18"/>
          <w:szCs w:val="18"/>
          <w:color w:val="000000"/>
        </w:rPr>
        <w:t>Goodwill represents the excess of the purchase price over the fair value of the net assets acquired in a business combination.</w:t>
      </w:r>
      <w:r>
        <w:rPr>
          <w:rFonts w:ascii="Arial" w:cs="Arial" w:eastAsia="Arial" w:hAnsi="Arial"/>
          <w:sz w:val="18"/>
          <w:szCs w:val="18"/>
          <w:b w:val="1"/>
          <w:bCs w:val="1"/>
          <w:color w:val="003A5D"/>
        </w:rPr>
        <w:t xml:space="preserve"> </w:t>
      </w:r>
      <w:r>
        <w:rPr>
          <w:rFonts w:ascii="Arial" w:cs="Arial" w:eastAsia="Arial" w:hAnsi="Arial"/>
          <w:sz w:val="18"/>
          <w:szCs w:val="18"/>
          <w:color w:val="000000"/>
        </w:rPr>
        <w:t>The Company evaluates goodwill for impairment annually in the fourth quarter of its fiscal year, or more frequently if indicators of potential impairment arise. The Company has a single reporting unit and consequently evaluates goodwill for impairment based on an evaluation of the fair value of the Company as a whole. No impairment has been recognized for any of the periods presented.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Intangible Assets. </w:t>
      </w:r>
      <w:r>
        <w:rPr>
          <w:rFonts w:ascii="Arial" w:cs="Arial" w:eastAsia="Arial" w:hAnsi="Arial"/>
          <w:sz w:val="18"/>
          <w:szCs w:val="18"/>
          <w:color w:val="000000"/>
        </w:rPr>
        <w:t>Acquired intangible assets other than goodwill, which primarily consist of customer relationships, are amortized over their</w:t>
      </w:r>
      <w:r>
        <w:rPr>
          <w:rFonts w:ascii="Arial" w:cs="Arial" w:eastAsia="Arial" w:hAnsi="Arial"/>
          <w:sz w:val="18"/>
          <w:szCs w:val="18"/>
          <w:b w:val="1"/>
          <w:bCs w:val="1"/>
          <w:color w:val="003A5D"/>
        </w:rPr>
        <w:t xml:space="preserve"> </w:t>
      </w:r>
      <w:r>
        <w:rPr>
          <w:rFonts w:ascii="Arial" w:cs="Arial" w:eastAsia="Arial" w:hAnsi="Arial"/>
          <w:sz w:val="18"/>
          <w:szCs w:val="18"/>
          <w:color w:val="000000"/>
        </w:rPr>
        <w:t>useful lives unless the lives are determined to be indefinite. For intangible assets acquired in a business combination, the estimated fair values of the assets received are used to establish their recorded values. Valuation techniques consistent with the market approach, income approach and/or cost approach are used to measure fair value.</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003A5D"/>
        </w:rPr>
        <w:t xml:space="preserve">Impairment of Long-Lived Assets. </w:t>
      </w:r>
      <w:r>
        <w:rPr>
          <w:rFonts w:ascii="Arial" w:cs="Arial" w:eastAsia="Arial" w:hAnsi="Arial"/>
          <w:sz w:val="18"/>
          <w:szCs w:val="18"/>
          <w:color w:val="000000"/>
        </w:rPr>
        <w:t>Long-lived assets, such as property and equipment, capitalized website development costs,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intangible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did not record any material impairment charges for fiscal 2022 or fiscal 2021. During fiscal 2020, the Company recorded impairment charges of $0.7 million to cost of product revenue for abandoned developed technology and trade names associated with the Ooma Smart Cam, which was acquired through the fiscal 2018 acquisition of Butterfleye, Inc. and discontinued in October 2019.</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Research and Development. </w:t>
      </w:r>
      <w:r>
        <w:rPr>
          <w:rFonts w:ascii="Arial" w:cs="Arial" w:eastAsia="Arial" w:hAnsi="Arial"/>
          <w:sz w:val="18"/>
          <w:szCs w:val="18"/>
          <w:color w:val="000000"/>
        </w:rPr>
        <w:t>Research and development costs are charged to operating expenses as incurred in the consolidated</w:t>
      </w:r>
      <w:r>
        <w:rPr>
          <w:rFonts w:ascii="Arial" w:cs="Arial" w:eastAsia="Arial" w:hAnsi="Arial"/>
          <w:sz w:val="18"/>
          <w:szCs w:val="18"/>
          <w:b w:val="1"/>
          <w:bCs w:val="1"/>
          <w:color w:val="003A5D"/>
        </w:rPr>
        <w:t xml:space="preserve"> </w:t>
      </w:r>
      <w:r>
        <w:rPr>
          <w:rFonts w:ascii="Arial" w:cs="Arial" w:eastAsia="Arial" w:hAnsi="Arial"/>
          <w:sz w:val="18"/>
          <w:szCs w:val="18"/>
          <w:color w:val="000000"/>
        </w:rPr>
        <w:t>statements of operations, except for internal-use website development costs that qualify for capitalization, as per above. Research and development expenses consist primarily of personnel-related costs for employees and contractors, including stock-based compensation, as well as license and product certification fees and allocated overhead costs.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003A5D"/>
        </w:rPr>
        <w:t xml:space="preserve">Advertising. </w:t>
      </w:r>
      <w:r>
        <w:rPr>
          <w:rFonts w:ascii="Arial" w:cs="Arial" w:eastAsia="Arial" w:hAnsi="Arial"/>
          <w:sz w:val="18"/>
          <w:szCs w:val="18"/>
          <w:color w:val="000000"/>
        </w:rPr>
        <w:t>Advertising costs are included in sales and marketing and expensed as incurred, except for production costs associated with</w:t>
      </w:r>
      <w:r>
        <w:rPr>
          <w:rFonts w:ascii="Arial" w:cs="Arial" w:eastAsia="Arial" w:hAnsi="Arial"/>
          <w:sz w:val="18"/>
          <w:szCs w:val="18"/>
          <w:b w:val="1"/>
          <w:bCs w:val="1"/>
          <w:color w:val="003A5D"/>
        </w:rPr>
        <w:t xml:space="preserve"> </w:t>
      </w:r>
      <w:r>
        <w:rPr>
          <w:rFonts w:ascii="Arial" w:cs="Arial" w:eastAsia="Arial" w:hAnsi="Arial"/>
          <w:sz w:val="18"/>
          <w:szCs w:val="18"/>
          <w:color w:val="000000"/>
        </w:rPr>
        <w:t>television and radio advertising, which are expensed on the first date of airing. Advertising costs were $14.5 million, $12.2 million and $13.6 million for fiscal 2022, 2021 and 2020, respectively.</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Advertising payments to the Company’s channel partners recorded as a reduction in revenue totaled $0.3 million, $0.3 million and $0.4 million for fiscal 2022, 2021 and 2020,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0" w:name="page71"/>
    <w:bookmarkEnd w:id="70"/>
    <w:p>
      <w:pPr>
        <w:jc w:val="both"/>
        <w:spacing w:after="0" w:line="242" w:lineRule="auto"/>
        <w:rPr>
          <w:sz w:val="20"/>
          <w:szCs w:val="20"/>
          <w:color w:val="auto"/>
        </w:rPr>
      </w:pPr>
      <w:r>
        <w:rPr>
          <w:rFonts w:ascii="Arial" w:cs="Arial" w:eastAsia="Arial" w:hAnsi="Arial"/>
          <w:sz w:val="18"/>
          <w:szCs w:val="18"/>
          <w:b w:val="1"/>
          <w:bCs w:val="1"/>
          <w:color w:val="003A5D"/>
        </w:rPr>
        <w:t xml:space="preserve">Stock-Based Compensation. </w:t>
      </w:r>
      <w:r>
        <w:rPr>
          <w:rFonts w:ascii="Arial" w:cs="Arial" w:eastAsia="Arial" w:hAnsi="Arial"/>
          <w:sz w:val="18"/>
          <w:szCs w:val="18"/>
          <w:color w:val="000000"/>
        </w:rPr>
        <w:t>Stock-based compensation expense for all stock-based awards granted to employees and non-employee</w:t>
      </w:r>
      <w:r>
        <w:rPr>
          <w:rFonts w:ascii="Arial" w:cs="Arial" w:eastAsia="Arial" w:hAnsi="Arial"/>
          <w:sz w:val="18"/>
          <w:szCs w:val="18"/>
          <w:b w:val="1"/>
          <w:bCs w:val="1"/>
          <w:color w:val="003A5D"/>
        </w:rPr>
        <w:t xml:space="preserve"> </w:t>
      </w:r>
      <w:r>
        <w:rPr>
          <w:rFonts w:ascii="Arial" w:cs="Arial" w:eastAsia="Arial" w:hAnsi="Arial"/>
          <w:sz w:val="18"/>
          <w:szCs w:val="18"/>
          <w:color w:val="000000"/>
        </w:rPr>
        <w:t>directors are measured at the grant date fair value of the equity award. The fair value of options granted and purchase rights under the Company’s ESPP are estimated on the date of grant using the Black-Scholes pricing model. The fair value of each RSU granted is determined using the closing market price of the Company’s common stock on the date of grant. Compensation expense is recognized using the straight-line method over the requisite service period, which is generally the vesting period. Forfeitures are recorded in the period in which they occur.</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003A5D"/>
        </w:rPr>
        <w:t xml:space="preserve">Income Taxes. </w:t>
      </w:r>
      <w:r>
        <w:rPr>
          <w:rFonts w:ascii="Arial" w:cs="Arial" w:eastAsia="Arial" w:hAnsi="Arial"/>
          <w:sz w:val="18"/>
          <w:szCs w:val="18"/>
          <w:color w:val="000000"/>
        </w:rPr>
        <w:t>Income taxes are recorded using the asset and liability method. Deferred tax assets and liabilities are recognized for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(loss) in the years in which those temporary differences are expected to be recovered or settled. The effect on deferred tax assets and liabilities of a change in tax rates is recognized in income in the period that includes the enactment date.</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Valuation allowances are established when necessary to reduce deferred tax assets to the amount expected to be realized. A tax position is recognized when it is more-likely-than-not that the tax position will be sustained upon examination, including resolution of any related appeals or litigation processes. A tax position that meets the more likely than not recognition threshold is measured at the largest amount of benefit that is greater than 50% likely of being realized upon ultimate settlement with a taxing authority.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and penalties associated with unrecognized tax benefits are classified as income tax expense. The Company had no interest or penalty accruals associated with uncertain tax benefits in its consolidated balance sheets and statements of operations for any periods presented.</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003A5D"/>
        </w:rPr>
        <w:t xml:space="preserve">Foreign currency. </w:t>
      </w:r>
      <w:r>
        <w:rPr>
          <w:rFonts w:ascii="Arial" w:cs="Arial" w:eastAsia="Arial" w:hAnsi="Arial"/>
          <w:sz w:val="18"/>
          <w:szCs w:val="18"/>
          <w:color w:val="000000"/>
        </w:rPr>
        <w:t>The U.S. dollar is the functional currency of the Company's foreign subsidiaries. Remeasurement and transaction gains</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losses are included in interest and other income, net and were not material for any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Adopted Accounting Standards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003A5D"/>
        </w:rPr>
        <w:t xml:space="preserve">Financial Instruments-Credit Losses. </w:t>
      </w:r>
      <w:r>
        <w:rPr>
          <w:rFonts w:ascii="Arial" w:cs="Arial" w:eastAsia="Arial" w:hAnsi="Arial"/>
          <w:sz w:val="18"/>
          <w:szCs w:val="18"/>
          <w:color w:val="000000"/>
        </w:rPr>
        <w:t>On February 1, 2021, the Company adopted Accounting Standards Update (“ASU”) 2019-12,</w:t>
      </w:r>
      <w:r>
        <w:rPr>
          <w:rFonts w:ascii="Arial" w:cs="Arial" w:eastAsia="Arial" w:hAnsi="Arial"/>
          <w:sz w:val="18"/>
          <w:szCs w:val="18"/>
          <w:i w:val="1"/>
          <w:iCs w:val="1"/>
          <w:color w:val="003A5D"/>
        </w:rPr>
        <w:t xml:space="preserve"> </w:t>
      </w:r>
      <w:r>
        <w:rPr>
          <w:rFonts w:ascii="Arial" w:cs="Arial" w:eastAsia="Arial" w:hAnsi="Arial"/>
          <w:sz w:val="18"/>
          <w:szCs w:val="18"/>
          <w:i w:val="1"/>
          <w:iCs w:val="1"/>
          <w:color w:val="000000"/>
        </w:rPr>
        <w:t>Income</w:t>
      </w:r>
      <w:r>
        <w:rPr>
          <w:rFonts w:ascii="Arial" w:cs="Arial" w:eastAsia="Arial" w:hAnsi="Arial"/>
          <w:sz w:val="18"/>
          <w:szCs w:val="18"/>
          <w:i w:val="1"/>
          <w:iCs w:val="1"/>
          <w:color w:val="003A5D"/>
        </w:rPr>
        <w:t xml:space="preserve"> </w:t>
      </w:r>
      <w:r>
        <w:rPr>
          <w:rFonts w:ascii="Arial" w:cs="Arial" w:eastAsia="Arial" w:hAnsi="Arial"/>
          <w:sz w:val="18"/>
          <w:szCs w:val="18"/>
          <w:i w:val="1"/>
          <w:iCs w:val="1"/>
          <w:color w:val="000000"/>
        </w:rPr>
        <w:t xml:space="preserve">Taxes </w:t>
      </w:r>
      <w:r>
        <w:rPr>
          <w:rFonts w:ascii="Arial" w:cs="Arial" w:eastAsia="Arial" w:hAnsi="Arial"/>
          <w:sz w:val="18"/>
          <w:szCs w:val="18"/>
          <w:color w:val="000000"/>
        </w:rPr>
        <w:t>(Topic 740)</w:t>
      </w:r>
      <w:r>
        <w:rPr>
          <w:rFonts w:ascii="Arial" w:cs="Arial" w:eastAsia="Arial" w:hAnsi="Arial"/>
          <w:sz w:val="18"/>
          <w:szCs w:val="18"/>
          <w:i w:val="1"/>
          <w:iCs w:val="1"/>
          <w:color w:val="000000"/>
        </w:rPr>
        <w:t>: Simplifying the Accounting for Income Taxes</w:t>
      </w:r>
      <w:r>
        <w:rPr>
          <w:rFonts w:ascii="Arial" w:cs="Arial" w:eastAsia="Arial" w:hAnsi="Arial"/>
          <w:sz w:val="18"/>
          <w:szCs w:val="18"/>
          <w:color w:val="000000"/>
        </w:rPr>
        <w:t>, which simplified certain aspects of the accounting for income taxes as well</w:t>
      </w:r>
      <w:r>
        <w:rPr>
          <w:rFonts w:ascii="Arial" w:cs="Arial" w:eastAsia="Arial" w:hAnsi="Arial"/>
          <w:sz w:val="18"/>
          <w:szCs w:val="18"/>
          <w:i w:val="1"/>
          <w:iCs w:val="1"/>
          <w:color w:val="000000"/>
        </w:rPr>
        <w:t xml:space="preserve"> </w:t>
      </w:r>
      <w:r>
        <w:rPr>
          <w:rFonts w:ascii="Arial" w:cs="Arial" w:eastAsia="Arial" w:hAnsi="Arial"/>
          <w:sz w:val="18"/>
          <w:szCs w:val="18"/>
          <w:color w:val="000000"/>
        </w:rPr>
        <w:t>as clarified and amended existing guidance to improve consistent application. Adoption did not have a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003A5D"/>
        </w:rPr>
        <w:t>Note 3: Revenue and Deferred Revenue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Disaggregated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consisted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6460" w:type="dxa"/>
            <w:vAlign w:val="bottom"/>
            <w:tcBorders>
              <w:bottom w:val="single" w:sz="8" w:color="D5E6F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5E6F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9"/>
                <w:szCs w:val="19"/>
                <w:color w:val="auto"/>
              </w:rPr>
            </w:pPr>
          </w:p>
        </w:tc>
      </w:tr>
      <w:tr>
        <w:trPr>
          <w:trHeight w:val="211"/>
        </w:trPr>
        <w:tc>
          <w:tcPr>
            <w:tcW w:w="6460" w:type="dxa"/>
            <w:vAlign w:val="bottom"/>
            <w:shd w:val="clear" w:color="auto" w:fill="D5E6F7"/>
          </w:tcPr>
          <w:p>
            <w:pPr>
              <w:spacing w:after="0"/>
              <w:rPr>
                <w:sz w:val="20"/>
                <w:szCs w:val="20"/>
                <w:color w:val="auto"/>
              </w:rPr>
            </w:pPr>
            <w:r>
              <w:rPr>
                <w:rFonts w:ascii="Arial" w:cs="Arial" w:eastAsia="Arial" w:hAnsi="Arial"/>
                <w:sz w:val="18"/>
                <w:szCs w:val="18"/>
                <w:color w:val="auto"/>
              </w:rPr>
              <w:t>Subscription and services revenue</w:t>
            </w:r>
          </w:p>
        </w:tc>
        <w:tc>
          <w:tcPr>
            <w:tcW w:w="32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175,942</w:t>
            </w: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156,873</w:t>
            </w:r>
          </w:p>
        </w:tc>
        <w:tc>
          <w:tcPr>
            <w:tcW w:w="240" w:type="dxa"/>
            <w:vAlign w:val="bottom"/>
            <w:shd w:val="clear" w:color="auto" w:fill="D5E6F7"/>
          </w:tcPr>
          <w:p>
            <w:pPr>
              <w:spacing w:after="0"/>
              <w:rPr>
                <w:sz w:val="18"/>
                <w:szCs w:val="18"/>
                <w:color w:val="auto"/>
              </w:rPr>
            </w:pPr>
          </w:p>
        </w:tc>
        <w:tc>
          <w:tcPr>
            <w:tcW w:w="32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139,499</w:t>
            </w:r>
          </w:p>
        </w:tc>
        <w:tc>
          <w:tcPr>
            <w:tcW w:w="100" w:type="dxa"/>
            <w:vAlign w:val="bottom"/>
            <w:shd w:val="clear" w:color="auto" w:fill="D5E6F7"/>
          </w:tcPr>
          <w:p>
            <w:pPr>
              <w:spacing w:after="0"/>
              <w:rPr>
                <w:sz w:val="18"/>
                <w:szCs w:val="18"/>
                <w:color w:val="auto"/>
              </w:rPr>
            </w:pPr>
          </w:p>
        </w:tc>
      </w:tr>
      <w:tr>
        <w:trPr>
          <w:trHeight w:val="216"/>
        </w:trPr>
        <w:tc>
          <w:tcPr>
            <w:tcW w:w="646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Product and other revenue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16,348</w:t>
            </w:r>
          </w:p>
        </w:tc>
        <w:tc>
          <w:tcPr>
            <w:tcW w:w="24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12,074</w:t>
            </w:r>
          </w:p>
        </w:tc>
        <w:tc>
          <w:tcPr>
            <w:tcW w:w="24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12,094</w:t>
            </w:r>
          </w:p>
        </w:tc>
        <w:tc>
          <w:tcPr>
            <w:tcW w:w="100" w:type="dxa"/>
            <w:vAlign w:val="bottom"/>
            <w:tcBorders>
              <w:bottom w:val="single" w:sz="8" w:color="D5E6F7"/>
            </w:tcBorders>
          </w:tcPr>
          <w:p>
            <w:pPr>
              <w:spacing w:after="0"/>
              <w:rPr>
                <w:sz w:val="18"/>
                <w:szCs w:val="18"/>
                <w:color w:val="auto"/>
              </w:rPr>
            </w:pPr>
          </w:p>
        </w:tc>
      </w:tr>
      <w:tr>
        <w:trPr>
          <w:trHeight w:val="209"/>
        </w:trPr>
        <w:tc>
          <w:tcPr>
            <w:tcW w:w="646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192,290</w:t>
            </w:r>
          </w:p>
        </w:tc>
        <w:tc>
          <w:tcPr>
            <w:tcW w:w="240" w:type="dxa"/>
            <w:vAlign w:val="bottom"/>
            <w:tcBorders>
              <w:bottom w:val="single" w:sz="8" w:color="D5E6F7"/>
            </w:tcBorders>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168,947</w:t>
            </w:r>
          </w:p>
        </w:tc>
        <w:tc>
          <w:tcPr>
            <w:tcW w:w="240" w:type="dxa"/>
            <w:vAlign w:val="bottom"/>
            <w:tcBorders>
              <w:bottom w:val="single" w:sz="8" w:color="D5E6F7"/>
            </w:tcBorders>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151,593</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derived approximately 49%, 44% and 39% of its total revenue from Ooma Business and approximately 49%, 54% and 58% of its total revenue from Ooma Residential and in fiscal 2022, 2021 and 2020, respectively.</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individual country outside of the United States represented 10% or more of total revenue for the periods presented. No single customer accounted for 10% or more of total revenue for the periods presented.</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003A5D"/>
        </w:rPr>
        <w:t xml:space="preserve">Deferred revenue </w:t>
      </w:r>
      <w:r>
        <w:rPr>
          <w:rFonts w:ascii="Arial" w:cs="Arial" w:eastAsia="Arial" w:hAnsi="Arial"/>
          <w:sz w:val="18"/>
          <w:szCs w:val="18"/>
          <w:color w:val="000000"/>
        </w:rPr>
        <w:t>primarily consists of billings or payments received in advance of meeting revenue recognition criteria. Deferred services</w:t>
      </w:r>
      <w:r>
        <w:rPr>
          <w:rFonts w:ascii="Arial" w:cs="Arial" w:eastAsia="Arial" w:hAnsi="Arial"/>
          <w:sz w:val="18"/>
          <w:szCs w:val="18"/>
          <w:b w:val="1"/>
          <w:bCs w:val="1"/>
          <w:color w:val="003A5D"/>
        </w:rPr>
        <w:t xml:space="preserve"> </w:t>
      </w:r>
      <w:r>
        <w:rPr>
          <w:rFonts w:ascii="Arial" w:cs="Arial" w:eastAsia="Arial" w:hAnsi="Arial"/>
          <w:sz w:val="18"/>
          <w:szCs w:val="18"/>
          <w:color w:val="000000"/>
        </w:rPr>
        <w:t>revenue is recognized on a ratable basis over the term of the contract as the services are provided.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7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57"/>
              <w:spacing w:after="0" w:line="160" w:lineRule="exact"/>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January 31,</w:t>
            </w:r>
          </w:p>
        </w:tc>
      </w:tr>
      <w:tr>
        <w:trPr>
          <w:trHeight w:val="171"/>
        </w:trPr>
        <w:tc>
          <w:tcPr>
            <w:tcW w:w="756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5E6F7"/>
            </w:tcBorders>
          </w:tcPr>
          <w:p>
            <w:pPr>
              <w:spacing w:after="0"/>
              <w:rPr>
                <w:sz w:val="14"/>
                <w:szCs w:val="14"/>
                <w:color w:val="auto"/>
              </w:rPr>
            </w:pPr>
          </w:p>
        </w:tc>
      </w:tr>
      <w:tr>
        <w:trPr>
          <w:trHeight w:val="210"/>
        </w:trPr>
        <w:tc>
          <w:tcPr>
            <w:tcW w:w="7560" w:type="dxa"/>
            <w:vAlign w:val="bottom"/>
            <w:shd w:val="clear" w:color="auto" w:fill="D5E6F7"/>
          </w:tcPr>
          <w:p>
            <w:pPr>
              <w:spacing w:after="0"/>
              <w:rPr>
                <w:sz w:val="20"/>
                <w:szCs w:val="20"/>
                <w:color w:val="auto"/>
              </w:rPr>
            </w:pPr>
            <w:r>
              <w:rPr>
                <w:rFonts w:ascii="Arial" w:cs="Arial" w:eastAsia="Arial" w:hAnsi="Arial"/>
                <w:sz w:val="18"/>
                <w:szCs w:val="18"/>
                <w:color w:val="auto"/>
              </w:rPr>
              <w:t>Subscription and services</w:t>
            </w: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16,614</w:t>
            </w:r>
          </w:p>
        </w:tc>
        <w:tc>
          <w:tcPr>
            <w:tcW w:w="26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16,433</w:t>
            </w:r>
          </w:p>
        </w:tc>
        <w:tc>
          <w:tcPr>
            <w:tcW w:w="100" w:type="dxa"/>
            <w:vAlign w:val="bottom"/>
            <w:shd w:val="clear" w:color="auto" w:fill="D5E6F7"/>
          </w:tcPr>
          <w:p>
            <w:pPr>
              <w:spacing w:after="0"/>
              <w:rPr>
                <w:sz w:val="18"/>
                <w:szCs w:val="18"/>
                <w:color w:val="auto"/>
              </w:rPr>
            </w:pPr>
          </w:p>
        </w:tc>
      </w:tr>
      <w:tr>
        <w:trPr>
          <w:trHeight w:val="216"/>
        </w:trPr>
        <w:tc>
          <w:tcPr>
            <w:tcW w:w="756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Product and other</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D5E6F7"/>
            </w:tcBorders>
          </w:tcPr>
          <w:p>
            <w:pPr>
              <w:spacing w:after="0"/>
              <w:rPr>
                <w:sz w:val="18"/>
                <w:szCs w:val="18"/>
                <w:color w:val="auto"/>
              </w:rPr>
            </w:pPr>
          </w:p>
        </w:tc>
      </w:tr>
      <w:tr>
        <w:trPr>
          <w:trHeight w:val="209"/>
        </w:trPr>
        <w:tc>
          <w:tcPr>
            <w:tcW w:w="7560" w:type="dxa"/>
            <w:vAlign w:val="bottom"/>
            <w:shd w:val="clear" w:color="auto" w:fill="D5E6F7"/>
          </w:tcPr>
          <w:p>
            <w:pPr>
              <w:spacing w:after="0"/>
              <w:rPr>
                <w:sz w:val="20"/>
                <w:szCs w:val="20"/>
                <w:color w:val="auto"/>
              </w:rPr>
            </w:pPr>
            <w:r>
              <w:rPr>
                <w:rFonts w:ascii="Arial" w:cs="Arial" w:eastAsia="Arial" w:hAnsi="Arial"/>
                <w:sz w:val="18"/>
                <w:szCs w:val="18"/>
                <w:color w:val="auto"/>
              </w:rPr>
              <w:t>Total deferred revenue</w:t>
            </w: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16,673</w:t>
            </w:r>
          </w:p>
        </w:tc>
        <w:tc>
          <w:tcPr>
            <w:tcW w:w="2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16,501</w:t>
            </w:r>
          </w:p>
        </w:tc>
        <w:tc>
          <w:tcPr>
            <w:tcW w:w="100" w:type="dxa"/>
            <w:vAlign w:val="bottom"/>
            <w:shd w:val="clear" w:color="auto" w:fill="D5E6F7"/>
          </w:tcPr>
          <w:p>
            <w:pPr>
              <w:spacing w:after="0"/>
              <w:rPr>
                <w:sz w:val="18"/>
                <w:szCs w:val="18"/>
                <w:color w:val="auto"/>
              </w:rPr>
            </w:pPr>
          </w:p>
        </w:tc>
      </w:tr>
      <w:tr>
        <w:trPr>
          <w:trHeight w:val="216"/>
        </w:trPr>
        <w:tc>
          <w:tcPr>
            <w:tcW w:w="756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Less: current deferred revenue</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26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tcBorders>
              <w:bottom w:val="single" w:sz="8" w:color="D5E6F7"/>
            </w:tcBorders>
          </w:tcPr>
          <w:p>
            <w:pPr>
              <w:spacing w:after="0"/>
              <w:rPr>
                <w:sz w:val="18"/>
                <w:szCs w:val="18"/>
                <w:color w:val="auto"/>
              </w:rPr>
            </w:pPr>
          </w:p>
        </w:tc>
      </w:tr>
      <w:tr>
        <w:trPr>
          <w:trHeight w:val="210"/>
        </w:trPr>
        <w:tc>
          <w:tcPr>
            <w:tcW w:w="756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Non-current deferred revenue included in other long-term liabilities</w:t>
            </w: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2022, the Company recognized revenue of approximately $16.4 million pertaining to amounts deferred as of January 31, 2021. As of January 31, 2022, the Company’s deferred revenue balance was primarily composed of subscription contracts that were invoiced during fiscal 2022.</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003A5D"/>
        </w:rPr>
        <w:t>Remaining performance obligations</w:t>
      </w:r>
      <w:r>
        <w:rPr>
          <w:rFonts w:ascii="Arial" w:cs="Arial" w:eastAsia="Arial" w:hAnsi="Arial"/>
          <w:sz w:val="18"/>
          <w:szCs w:val="18"/>
          <w:color w:val="000000"/>
        </w:rPr>
        <w:t>. As of January 31, 2022, contract revenue that had not yet been recognized for open contracts with</w:t>
      </w:r>
      <w:r>
        <w:rPr>
          <w:rFonts w:ascii="Arial" w:cs="Arial" w:eastAsia="Arial" w:hAnsi="Arial"/>
          <w:sz w:val="18"/>
          <w:szCs w:val="18"/>
          <w:b w:val="1"/>
          <w:bCs w:val="1"/>
          <w:color w:val="003A5D"/>
        </w:rPr>
        <w:t xml:space="preserve"> </w:t>
      </w:r>
      <w:r>
        <w:rPr>
          <w:rFonts w:ascii="Arial" w:cs="Arial" w:eastAsia="Arial" w:hAnsi="Arial"/>
          <w:sz w:val="18"/>
          <w:szCs w:val="18"/>
          <w:color w:val="000000"/>
        </w:rPr>
        <w:t>an original expected length of greater than one year was approximately $9.1 million. The Company expects to recognize revenue on approximately 53% of this amount over the next 12 months, with the balance to be recognized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2" w:name="page73"/>
    <w:bookmarkEnd w:id="72"/>
    <w:p>
      <w:pPr>
        <w:spacing w:after="0"/>
        <w:rPr>
          <w:sz w:val="20"/>
          <w:szCs w:val="20"/>
          <w:color w:val="auto"/>
        </w:rPr>
      </w:pPr>
      <w:r>
        <w:rPr>
          <w:rFonts w:ascii="Arial" w:cs="Arial" w:eastAsia="Arial" w:hAnsi="Arial"/>
          <w:sz w:val="25"/>
          <w:szCs w:val="25"/>
          <w:b w:val="1"/>
          <w:bCs w:val="1"/>
          <w:color w:val="003A5D"/>
        </w:rPr>
        <w:t>Note 4: Fair Value Measurements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measured at fair value on a recurring basis by level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left="52"/>
              <w:spacing w:after="0"/>
              <w:rPr>
                <w:sz w:val="20"/>
                <w:szCs w:val="20"/>
                <w:color w:val="auto"/>
              </w:rPr>
            </w:pPr>
            <w:r>
              <w:rPr>
                <w:rFonts w:ascii="Arial" w:cs="Arial" w:eastAsia="Arial" w:hAnsi="Arial"/>
                <w:sz w:val="14"/>
                <w:szCs w:val="14"/>
                <w:b w:val="1"/>
                <w:bCs w:val="1"/>
                <w:color w:val="auto"/>
              </w:rPr>
              <w:t>Balance as of January 31, 2022</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9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58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tcBorders>
              <w:top w:val="single" w:sz="8" w:color="D5E6F7"/>
            </w:tcBorders>
            <w:shd w:val="clear" w:color="auto" w:fill="D5E6F7"/>
          </w:tcPr>
          <w:p>
            <w:pPr>
              <w:spacing w:after="0"/>
              <w:rPr>
                <w:sz w:val="18"/>
                <w:szCs w:val="18"/>
                <w:color w:val="auto"/>
              </w:rPr>
            </w:pPr>
          </w:p>
        </w:tc>
        <w:tc>
          <w:tcPr>
            <w:tcW w:w="960" w:type="dxa"/>
            <w:vAlign w:val="bottom"/>
            <w:tcBorders>
              <w:top w:val="single" w:sz="8" w:color="auto"/>
            </w:tcBorders>
            <w:shd w:val="clear" w:color="auto" w:fill="D5E6F7"/>
          </w:tcPr>
          <w:p>
            <w:pPr>
              <w:spacing w:after="0"/>
              <w:rPr>
                <w:sz w:val="18"/>
                <w:szCs w:val="18"/>
                <w:color w:val="auto"/>
              </w:rPr>
            </w:pPr>
          </w:p>
        </w:tc>
        <w:tc>
          <w:tcPr>
            <w:tcW w:w="480" w:type="dxa"/>
            <w:vAlign w:val="bottom"/>
            <w:tcBorders>
              <w:top w:val="single" w:sz="8" w:color="auto"/>
            </w:tcBorders>
            <w:shd w:val="clear" w:color="auto" w:fill="D5E6F7"/>
          </w:tcPr>
          <w:p>
            <w:pPr>
              <w:spacing w:after="0"/>
              <w:rPr>
                <w:sz w:val="18"/>
                <w:szCs w:val="18"/>
                <w:color w:val="auto"/>
              </w:rPr>
            </w:pPr>
          </w:p>
        </w:tc>
        <w:tc>
          <w:tcPr>
            <w:tcW w:w="200" w:type="dxa"/>
            <w:vAlign w:val="bottom"/>
            <w:tcBorders>
              <w:top w:val="single" w:sz="8" w:color="D5E6F7"/>
            </w:tcBorders>
            <w:shd w:val="clear" w:color="auto" w:fill="D5E6F7"/>
          </w:tcPr>
          <w:p>
            <w:pPr>
              <w:spacing w:after="0"/>
              <w:rPr>
                <w:sz w:val="18"/>
                <w:szCs w:val="18"/>
                <w:color w:val="auto"/>
              </w:rPr>
            </w:pPr>
          </w:p>
        </w:tc>
        <w:tc>
          <w:tcPr>
            <w:tcW w:w="280" w:type="dxa"/>
            <w:vAlign w:val="bottom"/>
            <w:tcBorders>
              <w:top w:val="single" w:sz="8" w:color="auto"/>
            </w:tcBorders>
            <w:shd w:val="clear" w:color="auto" w:fill="D5E6F7"/>
          </w:tcPr>
          <w:p>
            <w:pPr>
              <w:spacing w:after="0"/>
              <w:rPr>
                <w:sz w:val="18"/>
                <w:szCs w:val="18"/>
                <w:color w:val="auto"/>
              </w:rPr>
            </w:pPr>
          </w:p>
        </w:tc>
        <w:tc>
          <w:tcPr>
            <w:tcW w:w="1160" w:type="dxa"/>
            <w:vAlign w:val="bottom"/>
            <w:tcBorders>
              <w:top w:val="single" w:sz="8" w:color="auto"/>
            </w:tcBorders>
            <w:shd w:val="clear" w:color="auto" w:fill="D5E6F7"/>
          </w:tcPr>
          <w:p>
            <w:pPr>
              <w:spacing w:after="0"/>
              <w:rPr>
                <w:sz w:val="18"/>
                <w:szCs w:val="18"/>
                <w:color w:val="auto"/>
              </w:rPr>
            </w:pPr>
          </w:p>
        </w:tc>
        <w:tc>
          <w:tcPr>
            <w:tcW w:w="200" w:type="dxa"/>
            <w:vAlign w:val="bottom"/>
            <w:tcBorders>
              <w:top w:val="single" w:sz="8" w:color="D5E6F7"/>
            </w:tcBorders>
            <w:shd w:val="clear" w:color="auto" w:fill="D5E6F7"/>
          </w:tcPr>
          <w:p>
            <w:pPr>
              <w:spacing w:after="0"/>
              <w:rPr>
                <w:sz w:val="18"/>
                <w:szCs w:val="18"/>
                <w:color w:val="auto"/>
              </w:rPr>
            </w:pPr>
          </w:p>
        </w:tc>
        <w:tc>
          <w:tcPr>
            <w:tcW w:w="20" w:type="dxa"/>
            <w:vAlign w:val="bottom"/>
            <w:tcBorders>
              <w:top w:val="single" w:sz="8" w:color="D5E6F7"/>
            </w:tcBorders>
            <w:shd w:val="clear" w:color="auto" w:fill="D5E6F7"/>
          </w:tcPr>
          <w:p>
            <w:pPr>
              <w:spacing w:after="0"/>
              <w:rPr>
                <w:sz w:val="18"/>
                <w:szCs w:val="18"/>
                <w:color w:val="auto"/>
              </w:rPr>
            </w:pPr>
          </w:p>
        </w:tc>
        <w:tc>
          <w:tcPr>
            <w:tcW w:w="320" w:type="dxa"/>
            <w:vAlign w:val="bottom"/>
            <w:tcBorders>
              <w:top w:val="single" w:sz="8" w:color="auto"/>
            </w:tcBorders>
            <w:shd w:val="clear" w:color="auto" w:fill="D5E6F7"/>
          </w:tcPr>
          <w:p>
            <w:pPr>
              <w:spacing w:after="0"/>
              <w:rPr>
                <w:sz w:val="18"/>
                <w:szCs w:val="18"/>
                <w:color w:val="auto"/>
              </w:rPr>
            </w:pPr>
          </w:p>
        </w:tc>
        <w:tc>
          <w:tcPr>
            <w:tcW w:w="1120" w:type="dxa"/>
            <w:vAlign w:val="bottom"/>
            <w:tcBorders>
              <w:top w:val="single" w:sz="8" w:color="auto"/>
            </w:tcBorders>
            <w:shd w:val="clear" w:color="auto" w:fill="D5E6F7"/>
          </w:tcPr>
          <w:p>
            <w:pPr>
              <w:spacing w:after="0"/>
              <w:rPr>
                <w:sz w:val="18"/>
                <w:szCs w:val="18"/>
                <w:color w:val="auto"/>
              </w:rPr>
            </w:pPr>
          </w:p>
        </w:tc>
        <w:tc>
          <w:tcPr>
            <w:tcW w:w="100" w:type="dxa"/>
            <w:vAlign w:val="bottom"/>
            <w:tcBorders>
              <w:top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2,275</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D5E6F7"/>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Total cash equivalents</w:t>
            </w:r>
          </w:p>
        </w:tc>
        <w:tc>
          <w:tcPr>
            <w:tcW w:w="1820" w:type="dxa"/>
            <w:vAlign w:val="bottom"/>
            <w:tcBorders>
              <w:top w:val="single" w:sz="8" w:color="D5E6F7"/>
              <w:bottom w:val="single" w:sz="8" w:color="D5E6F7"/>
            </w:tcBorders>
            <w:shd w:val="clear" w:color="auto" w:fill="D5E6F7"/>
          </w:tcPr>
          <w:p>
            <w:pPr>
              <w:spacing w:after="0"/>
              <w:rPr>
                <w:sz w:val="18"/>
                <w:szCs w:val="18"/>
                <w:color w:val="auto"/>
              </w:rPr>
            </w:pPr>
          </w:p>
        </w:tc>
        <w:tc>
          <w:tcPr>
            <w:tcW w:w="960" w:type="dxa"/>
            <w:vAlign w:val="bottom"/>
            <w:tcBorders>
              <w:top w:val="single" w:sz="8" w:color="auto"/>
              <w:bottom w:val="single" w:sz="8" w:color="auto"/>
            </w:tcBorders>
            <w:shd w:val="clear" w:color="auto" w:fill="D5E6F7"/>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97"/>
              </w:rPr>
              <w:t>2,275</w:t>
            </w:r>
          </w:p>
        </w:tc>
        <w:tc>
          <w:tcPr>
            <w:tcW w:w="200" w:type="dxa"/>
            <w:vAlign w:val="bottom"/>
            <w:tcBorders>
              <w:top w:val="single" w:sz="8" w:color="D5E6F7"/>
              <w:bottom w:val="single" w:sz="8" w:color="D5E6F7"/>
            </w:tcBorders>
            <w:shd w:val="clear" w:color="auto" w:fill="D5E6F7"/>
          </w:tcPr>
          <w:p>
            <w:pPr>
              <w:spacing w:after="0"/>
              <w:rPr>
                <w:sz w:val="18"/>
                <w:szCs w:val="18"/>
                <w:color w:val="auto"/>
              </w:rPr>
            </w:pPr>
          </w:p>
        </w:tc>
        <w:tc>
          <w:tcPr>
            <w:tcW w:w="280" w:type="dxa"/>
            <w:vAlign w:val="bottom"/>
            <w:tcBorders>
              <w:top w:val="single" w:sz="8" w:color="auto"/>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5E6F7"/>
              <w:bottom w:val="single" w:sz="8" w:color="D5E6F7"/>
            </w:tcBorders>
            <w:gridSpan w:val="2"/>
            <w:shd w:val="clear" w:color="auto" w:fill="D5E6F7"/>
          </w:tcPr>
          <w:p>
            <w:pPr>
              <w:spacing w:after="0"/>
              <w:rPr>
                <w:sz w:val="18"/>
                <w:szCs w:val="18"/>
                <w:color w:val="auto"/>
              </w:rPr>
            </w:pPr>
          </w:p>
        </w:tc>
        <w:tc>
          <w:tcPr>
            <w:tcW w:w="320" w:type="dxa"/>
            <w:vAlign w:val="bottom"/>
            <w:tcBorders>
              <w:top w:val="single" w:sz="8" w:color="auto"/>
              <w:bottom w:val="single" w:sz="8" w:color="D5E6F7"/>
            </w:tcBorders>
            <w:shd w:val="clear" w:color="auto" w:fill="D5E6F7"/>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D5E6F7"/>
            </w:tcBorders>
            <w:shd w:val="clear" w:color="auto" w:fill="D5E6F7"/>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Borders>
              <w:top w:val="single" w:sz="8" w:color="D5E6F7"/>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1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17,392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D5E6F7"/>
            </w:tcBorders>
            <w:vMerge w:val="continue"/>
          </w:tcPr>
          <w:p>
            <w:pPr>
              <w:spacing w:after="0"/>
              <w:rPr>
                <w:sz w:val="17"/>
                <w:szCs w:val="17"/>
                <w:color w:val="auto"/>
              </w:rPr>
            </w:pPr>
          </w:p>
        </w:tc>
        <w:tc>
          <w:tcPr>
            <w:tcW w:w="1820" w:type="dxa"/>
            <w:vAlign w:val="bottom"/>
            <w:tcBorders>
              <w:bottom w:val="single" w:sz="8" w:color="D5E6F7"/>
            </w:tcBorders>
          </w:tcPr>
          <w:p>
            <w:pPr>
              <w:spacing w:after="0"/>
              <w:rPr>
                <w:sz w:val="17"/>
                <w:szCs w:val="17"/>
                <w:color w:val="auto"/>
              </w:rPr>
            </w:pPr>
          </w:p>
        </w:tc>
        <w:tc>
          <w:tcPr>
            <w:tcW w:w="960" w:type="dxa"/>
            <w:vAlign w:val="bottom"/>
            <w:tcBorders>
              <w:bottom w:val="single" w:sz="8" w:color="D5E6F7"/>
            </w:tcBorders>
          </w:tcPr>
          <w:p>
            <w:pPr>
              <w:spacing w:after="0"/>
              <w:rPr>
                <w:sz w:val="17"/>
                <w:szCs w:val="17"/>
                <w:color w:val="auto"/>
              </w:rPr>
            </w:pPr>
          </w:p>
        </w:tc>
        <w:tc>
          <w:tcPr>
            <w:tcW w:w="480" w:type="dxa"/>
            <w:vAlign w:val="bottom"/>
            <w:tcBorders>
              <w:bottom w:val="single" w:sz="8" w:color="D5E6F7"/>
            </w:tcBorders>
          </w:tcPr>
          <w:p>
            <w:pPr>
              <w:spacing w:after="0"/>
              <w:rPr>
                <w:sz w:val="17"/>
                <w:szCs w:val="17"/>
                <w:color w:val="auto"/>
              </w:rPr>
            </w:pPr>
          </w:p>
        </w:tc>
        <w:tc>
          <w:tcPr>
            <w:tcW w:w="200" w:type="dxa"/>
            <w:vAlign w:val="bottom"/>
            <w:tcBorders>
              <w:bottom w:val="single" w:sz="8" w:color="D5E6F7"/>
            </w:tcBorders>
          </w:tcPr>
          <w:p>
            <w:pPr>
              <w:spacing w:after="0"/>
              <w:rPr>
                <w:sz w:val="17"/>
                <w:szCs w:val="17"/>
                <w:color w:val="auto"/>
              </w:rPr>
            </w:pPr>
          </w:p>
        </w:tc>
        <w:tc>
          <w:tcPr>
            <w:tcW w:w="280" w:type="dxa"/>
            <w:vAlign w:val="bottom"/>
            <w:tcBorders>
              <w:bottom w:val="single" w:sz="8" w:color="D5E6F7"/>
            </w:tcBorders>
          </w:tcPr>
          <w:p>
            <w:pPr>
              <w:spacing w:after="0"/>
              <w:rPr>
                <w:sz w:val="17"/>
                <w:szCs w:val="17"/>
                <w:color w:val="auto"/>
              </w:rPr>
            </w:pPr>
          </w:p>
        </w:tc>
        <w:tc>
          <w:tcPr>
            <w:tcW w:w="1160" w:type="dxa"/>
            <w:vAlign w:val="bottom"/>
            <w:tcBorders>
              <w:bottom w:val="single" w:sz="8" w:color="D5E6F7"/>
            </w:tcBorders>
          </w:tcPr>
          <w:p>
            <w:pPr>
              <w:spacing w:after="0"/>
              <w:rPr>
                <w:sz w:val="17"/>
                <w:szCs w:val="17"/>
                <w:color w:val="auto"/>
              </w:rPr>
            </w:pPr>
          </w:p>
        </w:tc>
        <w:tc>
          <w:tcPr>
            <w:tcW w:w="200" w:type="dxa"/>
            <w:vAlign w:val="bottom"/>
            <w:tcBorders>
              <w:bottom w:val="single" w:sz="8" w:color="D5E6F7"/>
            </w:tcBorders>
          </w:tcPr>
          <w:p>
            <w:pPr>
              <w:spacing w:after="0"/>
              <w:rPr>
                <w:sz w:val="17"/>
                <w:szCs w:val="17"/>
                <w:color w:val="auto"/>
              </w:rPr>
            </w:pPr>
          </w:p>
        </w:tc>
        <w:tc>
          <w:tcPr>
            <w:tcW w:w="20" w:type="dxa"/>
            <w:vAlign w:val="bottom"/>
            <w:tcBorders>
              <w:bottom w:val="single" w:sz="8" w:color="D5E6F7"/>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5E6F7"/>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820" w:type="dxa"/>
            <w:vAlign w:val="bottom"/>
            <w:tcBorders>
              <w:bottom w:val="single" w:sz="8" w:color="D5E6F7"/>
            </w:tcBorders>
            <w:shd w:val="clear" w:color="auto" w:fill="D5E6F7"/>
          </w:tcPr>
          <w:p>
            <w:pPr>
              <w:spacing w:after="0"/>
              <w:rPr>
                <w:sz w:val="18"/>
                <w:szCs w:val="18"/>
                <w:color w:val="auto"/>
              </w:rPr>
            </w:pPr>
          </w:p>
        </w:tc>
        <w:tc>
          <w:tcPr>
            <w:tcW w:w="960" w:type="dxa"/>
            <w:vAlign w:val="bottom"/>
            <w:tcBorders>
              <w:bottom w:val="single" w:sz="8" w:color="D5E6F7"/>
            </w:tcBorders>
            <w:shd w:val="clear" w:color="auto" w:fill="D5E6F7"/>
          </w:tcPr>
          <w:p>
            <w:pPr>
              <w:spacing w:after="0"/>
              <w:rPr>
                <w:sz w:val="18"/>
                <w:szCs w:val="18"/>
                <w:color w:val="auto"/>
              </w:rPr>
            </w:pPr>
          </w:p>
        </w:tc>
        <w:tc>
          <w:tcPr>
            <w:tcW w:w="480" w:type="dxa"/>
            <w:vAlign w:val="bottom"/>
            <w:tcBorders>
              <w:bottom w:val="single" w:sz="8" w:color="D5E6F7"/>
            </w:tcBorders>
            <w:shd w:val="clear" w:color="auto" w:fill="D5E6F7"/>
          </w:tcPr>
          <w:p>
            <w:pPr>
              <w:spacing w:after="0"/>
              <w:rPr>
                <w:sz w:val="18"/>
                <w:szCs w:val="18"/>
                <w:color w:val="auto"/>
              </w:rPr>
            </w:pPr>
          </w:p>
        </w:tc>
        <w:tc>
          <w:tcPr>
            <w:tcW w:w="2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D5E6F7"/>
            </w:tcBorders>
            <w:shd w:val="clear" w:color="auto" w:fill="D5E6F7"/>
          </w:tcPr>
          <w:p>
            <w:pPr>
              <w:spacing w:after="0"/>
              <w:rPr>
                <w:sz w:val="18"/>
                <w:szCs w:val="18"/>
                <w:color w:val="auto"/>
              </w:rPr>
            </w:pPr>
          </w:p>
        </w:tc>
        <w:tc>
          <w:tcPr>
            <w:tcW w:w="1160" w:type="dxa"/>
            <w:vAlign w:val="bottom"/>
            <w:tcBorders>
              <w:bottom w:val="single" w:sz="8" w:color="D5E6F7"/>
            </w:tcBorders>
            <w:shd w:val="clear" w:color="auto" w:fill="D5E6F7"/>
          </w:tcPr>
          <w:p>
            <w:pPr>
              <w:spacing w:after="0"/>
              <w:rPr>
                <w:sz w:val="18"/>
                <w:szCs w:val="18"/>
                <w:color w:val="auto"/>
              </w:rPr>
            </w:pPr>
          </w:p>
        </w:tc>
        <w:tc>
          <w:tcPr>
            <w:tcW w:w="220" w:type="dxa"/>
            <w:vAlign w:val="bottom"/>
            <w:tcBorders>
              <w:bottom w:val="single" w:sz="8" w:color="D5E6F7"/>
            </w:tcBorders>
            <w:gridSpan w:val="2"/>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19,667</w:t>
            </w:r>
          </w:p>
        </w:tc>
        <w:tc>
          <w:tcPr>
            <w:tcW w:w="10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D5E6F7"/>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48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7,065</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D5E6F7"/>
          </w:tcPr>
          <w:p>
            <w:pPr>
              <w:ind w:left="140"/>
              <w:spacing w:after="0"/>
              <w:rPr>
                <w:sz w:val="20"/>
                <w:szCs w:val="20"/>
                <w:color w:val="auto"/>
              </w:rPr>
            </w:pPr>
            <w:r>
              <w:rPr>
                <w:rFonts w:ascii="Arial" w:cs="Arial" w:eastAsia="Arial" w:hAnsi="Arial"/>
                <w:sz w:val="18"/>
                <w:szCs w:val="18"/>
                <w:color w:val="auto"/>
              </w:rPr>
              <w:t>Commercial paper</w:t>
            </w:r>
          </w:p>
        </w:tc>
        <w:tc>
          <w:tcPr>
            <w:tcW w:w="1820" w:type="dxa"/>
            <w:vAlign w:val="bottom"/>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spacing w:after="0"/>
              <w:rPr>
                <w:sz w:val="18"/>
                <w:szCs w:val="18"/>
                <w:color w:val="auto"/>
              </w:rPr>
            </w:pPr>
          </w:p>
        </w:tc>
        <w:tc>
          <w:tcPr>
            <w:tcW w:w="4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11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4,548</w:t>
            </w:r>
          </w:p>
        </w:tc>
        <w:tc>
          <w:tcPr>
            <w:tcW w:w="20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short-term investments</w:t>
            </w:r>
          </w:p>
        </w:tc>
        <w:tc>
          <w:tcPr>
            <w:tcW w:w="1820" w:type="dxa"/>
            <w:vAlign w:val="bottom"/>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7,065</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left="52"/>
              <w:spacing w:after="0"/>
              <w:rPr>
                <w:sz w:val="20"/>
                <w:szCs w:val="20"/>
                <w:color w:val="auto"/>
              </w:rPr>
            </w:pPr>
            <w:r>
              <w:rPr>
                <w:rFonts w:ascii="Arial" w:cs="Arial" w:eastAsia="Arial" w:hAnsi="Arial"/>
                <w:sz w:val="14"/>
                <w:szCs w:val="14"/>
                <w:b w:val="1"/>
                <w:bCs w:val="1"/>
                <w:color w:val="auto"/>
              </w:rPr>
              <w:t>Balance as of January 31, 2021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center"/>
              <w:ind w:right="19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58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tcBorders>
              <w:top w:val="single" w:sz="8" w:color="D5E6F7"/>
            </w:tcBorders>
            <w:shd w:val="clear" w:color="auto" w:fill="D5E6F7"/>
          </w:tcPr>
          <w:p>
            <w:pPr>
              <w:spacing w:after="0"/>
              <w:rPr>
                <w:sz w:val="18"/>
                <w:szCs w:val="18"/>
                <w:color w:val="auto"/>
              </w:rPr>
            </w:pPr>
          </w:p>
        </w:tc>
        <w:tc>
          <w:tcPr>
            <w:tcW w:w="960" w:type="dxa"/>
            <w:vAlign w:val="bottom"/>
            <w:tcBorders>
              <w:top w:val="single" w:sz="8" w:color="auto"/>
            </w:tcBorders>
            <w:shd w:val="clear" w:color="auto" w:fill="D5E6F7"/>
          </w:tcPr>
          <w:p>
            <w:pPr>
              <w:spacing w:after="0"/>
              <w:rPr>
                <w:sz w:val="18"/>
                <w:szCs w:val="18"/>
                <w:color w:val="auto"/>
              </w:rPr>
            </w:pPr>
          </w:p>
        </w:tc>
        <w:tc>
          <w:tcPr>
            <w:tcW w:w="480" w:type="dxa"/>
            <w:vAlign w:val="bottom"/>
            <w:tcBorders>
              <w:top w:val="single" w:sz="8" w:color="auto"/>
            </w:tcBorders>
            <w:shd w:val="clear" w:color="auto" w:fill="D5E6F7"/>
          </w:tcPr>
          <w:p>
            <w:pPr>
              <w:spacing w:after="0"/>
              <w:rPr>
                <w:sz w:val="18"/>
                <w:szCs w:val="18"/>
                <w:color w:val="auto"/>
              </w:rPr>
            </w:pPr>
          </w:p>
        </w:tc>
        <w:tc>
          <w:tcPr>
            <w:tcW w:w="200" w:type="dxa"/>
            <w:vAlign w:val="bottom"/>
            <w:tcBorders>
              <w:top w:val="single" w:sz="8" w:color="D5E6F7"/>
            </w:tcBorders>
            <w:shd w:val="clear" w:color="auto" w:fill="D5E6F7"/>
          </w:tcPr>
          <w:p>
            <w:pPr>
              <w:spacing w:after="0"/>
              <w:rPr>
                <w:sz w:val="18"/>
                <w:szCs w:val="18"/>
                <w:color w:val="auto"/>
              </w:rPr>
            </w:pPr>
          </w:p>
        </w:tc>
        <w:tc>
          <w:tcPr>
            <w:tcW w:w="280" w:type="dxa"/>
            <w:vAlign w:val="bottom"/>
            <w:tcBorders>
              <w:top w:val="single" w:sz="8" w:color="auto"/>
            </w:tcBorders>
            <w:shd w:val="clear" w:color="auto" w:fill="D5E6F7"/>
          </w:tcPr>
          <w:p>
            <w:pPr>
              <w:spacing w:after="0"/>
              <w:rPr>
                <w:sz w:val="18"/>
                <w:szCs w:val="18"/>
                <w:color w:val="auto"/>
              </w:rPr>
            </w:pPr>
          </w:p>
        </w:tc>
        <w:tc>
          <w:tcPr>
            <w:tcW w:w="1160" w:type="dxa"/>
            <w:vAlign w:val="bottom"/>
            <w:tcBorders>
              <w:top w:val="single" w:sz="8" w:color="auto"/>
            </w:tcBorders>
            <w:shd w:val="clear" w:color="auto" w:fill="D5E6F7"/>
          </w:tcPr>
          <w:p>
            <w:pPr>
              <w:spacing w:after="0"/>
              <w:rPr>
                <w:sz w:val="18"/>
                <w:szCs w:val="18"/>
                <w:color w:val="auto"/>
              </w:rPr>
            </w:pPr>
          </w:p>
        </w:tc>
        <w:tc>
          <w:tcPr>
            <w:tcW w:w="200" w:type="dxa"/>
            <w:vAlign w:val="bottom"/>
            <w:tcBorders>
              <w:top w:val="single" w:sz="8" w:color="D5E6F7"/>
            </w:tcBorders>
            <w:shd w:val="clear" w:color="auto" w:fill="D5E6F7"/>
          </w:tcPr>
          <w:p>
            <w:pPr>
              <w:spacing w:after="0"/>
              <w:rPr>
                <w:sz w:val="18"/>
                <w:szCs w:val="18"/>
                <w:color w:val="auto"/>
              </w:rPr>
            </w:pPr>
          </w:p>
        </w:tc>
        <w:tc>
          <w:tcPr>
            <w:tcW w:w="20" w:type="dxa"/>
            <w:vAlign w:val="bottom"/>
            <w:tcBorders>
              <w:top w:val="single" w:sz="8" w:color="D5E6F7"/>
            </w:tcBorders>
            <w:shd w:val="clear" w:color="auto" w:fill="D5E6F7"/>
          </w:tcPr>
          <w:p>
            <w:pPr>
              <w:spacing w:after="0"/>
              <w:rPr>
                <w:sz w:val="18"/>
                <w:szCs w:val="18"/>
                <w:color w:val="auto"/>
              </w:rPr>
            </w:pPr>
          </w:p>
        </w:tc>
        <w:tc>
          <w:tcPr>
            <w:tcW w:w="320" w:type="dxa"/>
            <w:vAlign w:val="bottom"/>
            <w:tcBorders>
              <w:top w:val="single" w:sz="8" w:color="auto"/>
            </w:tcBorders>
            <w:shd w:val="clear" w:color="auto" w:fill="D5E6F7"/>
          </w:tcPr>
          <w:p>
            <w:pPr>
              <w:spacing w:after="0"/>
              <w:rPr>
                <w:sz w:val="18"/>
                <w:szCs w:val="18"/>
                <w:color w:val="auto"/>
              </w:rPr>
            </w:pPr>
          </w:p>
        </w:tc>
        <w:tc>
          <w:tcPr>
            <w:tcW w:w="1120" w:type="dxa"/>
            <w:vAlign w:val="bottom"/>
            <w:tcBorders>
              <w:top w:val="single" w:sz="8" w:color="auto"/>
            </w:tcBorders>
            <w:shd w:val="clear" w:color="auto" w:fill="D5E6F7"/>
          </w:tcPr>
          <w:p>
            <w:pPr>
              <w:spacing w:after="0"/>
              <w:rPr>
                <w:sz w:val="18"/>
                <w:szCs w:val="18"/>
                <w:color w:val="auto"/>
              </w:rPr>
            </w:pPr>
          </w:p>
        </w:tc>
        <w:tc>
          <w:tcPr>
            <w:tcW w:w="100" w:type="dxa"/>
            <w:vAlign w:val="bottom"/>
            <w:tcBorders>
              <w:top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1,657</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D5E6F7"/>
          </w:tcPr>
          <w:p>
            <w:pPr>
              <w:ind w:left="140"/>
              <w:spacing w:after="0"/>
              <w:rPr>
                <w:sz w:val="20"/>
                <w:szCs w:val="20"/>
                <w:color w:val="auto"/>
              </w:rPr>
            </w:pPr>
            <w:r>
              <w:rPr>
                <w:rFonts w:ascii="Arial" w:cs="Arial" w:eastAsia="Arial" w:hAnsi="Arial"/>
                <w:sz w:val="18"/>
                <w:szCs w:val="18"/>
                <w:color w:val="auto"/>
              </w:rPr>
              <w:t>U.S. agency securities</w:t>
            </w:r>
          </w:p>
        </w:tc>
        <w:tc>
          <w:tcPr>
            <w:tcW w:w="182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U.S. treasury securities</w:t>
            </w:r>
          </w:p>
        </w:tc>
        <w:tc>
          <w:tcPr>
            <w:tcW w:w="1820" w:type="dxa"/>
            <w:vAlign w:val="bottom"/>
            <w:tcBorders>
              <w:bottom w:val="single" w:sz="8" w:color="D5E6F7"/>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5E6F7"/>
            </w:tcBorders>
          </w:tcPr>
          <w:p>
            <w:pPr>
              <w:spacing w:after="0"/>
              <w:rPr>
                <w:sz w:val="18"/>
                <w:szCs w:val="18"/>
                <w:color w:val="auto"/>
              </w:rPr>
            </w:pPr>
          </w:p>
        </w:tc>
        <w:tc>
          <w:tcPr>
            <w:tcW w:w="2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D5E6F7"/>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Total cash equivalents</w:t>
            </w:r>
          </w:p>
        </w:tc>
        <w:tc>
          <w:tcPr>
            <w:tcW w:w="1820" w:type="dxa"/>
            <w:vAlign w:val="bottom"/>
            <w:tcBorders>
              <w:bottom w:val="single" w:sz="8" w:color="D5E6F7"/>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97"/>
              </w:rPr>
              <w:t>1,907</w:t>
            </w:r>
          </w:p>
        </w:tc>
        <w:tc>
          <w:tcPr>
            <w:tcW w:w="2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D5E6F7"/>
            </w:tcBorders>
            <w:shd w:val="clear" w:color="auto" w:fill="D5E6F7"/>
          </w:tcPr>
          <w:p>
            <w:pPr>
              <w:spacing w:after="0"/>
              <w:rPr>
                <w:sz w:val="18"/>
                <w:szCs w:val="18"/>
                <w:color w:val="auto"/>
              </w:rPr>
            </w:pPr>
          </w:p>
        </w:tc>
        <w:tc>
          <w:tcPr>
            <w:tcW w:w="20" w:type="dxa"/>
            <w:vAlign w:val="bottom"/>
            <w:tcBorders>
              <w:bottom w:val="single" w:sz="8" w:color="D5E6F7"/>
            </w:tcBorders>
            <w:shd w:val="clear" w:color="auto" w:fill="D5E6F7"/>
          </w:tcPr>
          <w:p>
            <w:pPr>
              <w:spacing w:after="0"/>
              <w:rPr>
                <w:sz w:val="18"/>
                <w:szCs w:val="18"/>
                <w:color w:val="auto"/>
              </w:rPr>
            </w:pPr>
          </w:p>
        </w:tc>
        <w:tc>
          <w:tcPr>
            <w:tcW w:w="320" w:type="dxa"/>
            <w:vAlign w:val="bottom"/>
            <w:tcBorders>
              <w:bottom w:val="single" w:sz="8" w:color="D5E6F7"/>
            </w:tcBorders>
            <w:shd w:val="clear" w:color="auto" w:fill="D5E6F7"/>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D5E6F7"/>
            </w:tcBorders>
            <w:shd w:val="clear" w:color="auto" w:fill="D5E6F7"/>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1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14,391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Borders>
              <w:bottom w:val="single" w:sz="8" w:color="D5E6F7"/>
            </w:tcBorders>
            <w:vMerge w:val="continue"/>
          </w:tcPr>
          <w:p>
            <w:pPr>
              <w:spacing w:after="0"/>
              <w:rPr>
                <w:sz w:val="17"/>
                <w:szCs w:val="17"/>
                <w:color w:val="auto"/>
              </w:rPr>
            </w:pPr>
          </w:p>
        </w:tc>
        <w:tc>
          <w:tcPr>
            <w:tcW w:w="1820" w:type="dxa"/>
            <w:vAlign w:val="bottom"/>
            <w:tcBorders>
              <w:bottom w:val="single" w:sz="8" w:color="D5E6F7"/>
            </w:tcBorders>
          </w:tcPr>
          <w:p>
            <w:pPr>
              <w:spacing w:after="0"/>
              <w:rPr>
                <w:sz w:val="17"/>
                <w:szCs w:val="17"/>
                <w:color w:val="auto"/>
              </w:rPr>
            </w:pPr>
          </w:p>
        </w:tc>
        <w:tc>
          <w:tcPr>
            <w:tcW w:w="960" w:type="dxa"/>
            <w:vAlign w:val="bottom"/>
            <w:tcBorders>
              <w:bottom w:val="single" w:sz="8" w:color="D5E6F7"/>
            </w:tcBorders>
          </w:tcPr>
          <w:p>
            <w:pPr>
              <w:spacing w:after="0"/>
              <w:rPr>
                <w:sz w:val="17"/>
                <w:szCs w:val="17"/>
                <w:color w:val="auto"/>
              </w:rPr>
            </w:pPr>
          </w:p>
        </w:tc>
        <w:tc>
          <w:tcPr>
            <w:tcW w:w="480" w:type="dxa"/>
            <w:vAlign w:val="bottom"/>
            <w:tcBorders>
              <w:bottom w:val="single" w:sz="8" w:color="D5E6F7"/>
            </w:tcBorders>
          </w:tcPr>
          <w:p>
            <w:pPr>
              <w:spacing w:after="0"/>
              <w:rPr>
                <w:sz w:val="17"/>
                <w:szCs w:val="17"/>
                <w:color w:val="auto"/>
              </w:rPr>
            </w:pPr>
          </w:p>
        </w:tc>
        <w:tc>
          <w:tcPr>
            <w:tcW w:w="200" w:type="dxa"/>
            <w:vAlign w:val="bottom"/>
            <w:tcBorders>
              <w:bottom w:val="single" w:sz="8" w:color="D5E6F7"/>
            </w:tcBorders>
          </w:tcPr>
          <w:p>
            <w:pPr>
              <w:spacing w:after="0"/>
              <w:rPr>
                <w:sz w:val="17"/>
                <w:szCs w:val="17"/>
                <w:color w:val="auto"/>
              </w:rPr>
            </w:pPr>
          </w:p>
        </w:tc>
        <w:tc>
          <w:tcPr>
            <w:tcW w:w="280" w:type="dxa"/>
            <w:vAlign w:val="bottom"/>
            <w:tcBorders>
              <w:bottom w:val="single" w:sz="8" w:color="D5E6F7"/>
            </w:tcBorders>
          </w:tcPr>
          <w:p>
            <w:pPr>
              <w:spacing w:after="0"/>
              <w:rPr>
                <w:sz w:val="17"/>
                <w:szCs w:val="17"/>
                <w:color w:val="auto"/>
              </w:rPr>
            </w:pPr>
          </w:p>
        </w:tc>
        <w:tc>
          <w:tcPr>
            <w:tcW w:w="1160" w:type="dxa"/>
            <w:vAlign w:val="bottom"/>
            <w:tcBorders>
              <w:bottom w:val="single" w:sz="8" w:color="D5E6F7"/>
            </w:tcBorders>
          </w:tcPr>
          <w:p>
            <w:pPr>
              <w:spacing w:after="0"/>
              <w:rPr>
                <w:sz w:val="17"/>
                <w:szCs w:val="17"/>
                <w:color w:val="auto"/>
              </w:rPr>
            </w:pPr>
          </w:p>
        </w:tc>
        <w:tc>
          <w:tcPr>
            <w:tcW w:w="200" w:type="dxa"/>
            <w:vAlign w:val="bottom"/>
            <w:tcBorders>
              <w:bottom w:val="single" w:sz="8" w:color="D5E6F7"/>
            </w:tcBorders>
          </w:tcPr>
          <w:p>
            <w:pPr>
              <w:spacing w:after="0"/>
              <w:rPr>
                <w:sz w:val="17"/>
                <w:szCs w:val="17"/>
                <w:color w:val="auto"/>
              </w:rPr>
            </w:pPr>
          </w:p>
        </w:tc>
        <w:tc>
          <w:tcPr>
            <w:tcW w:w="20" w:type="dxa"/>
            <w:vAlign w:val="bottom"/>
            <w:tcBorders>
              <w:bottom w:val="single" w:sz="8" w:color="D5E6F7"/>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5E6F7"/>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820" w:type="dxa"/>
            <w:vAlign w:val="bottom"/>
            <w:tcBorders>
              <w:bottom w:val="single" w:sz="8" w:color="D5E6F7"/>
            </w:tcBorders>
            <w:shd w:val="clear" w:color="auto" w:fill="D5E6F7"/>
          </w:tcPr>
          <w:p>
            <w:pPr>
              <w:spacing w:after="0"/>
              <w:rPr>
                <w:sz w:val="18"/>
                <w:szCs w:val="18"/>
                <w:color w:val="auto"/>
              </w:rPr>
            </w:pPr>
          </w:p>
        </w:tc>
        <w:tc>
          <w:tcPr>
            <w:tcW w:w="960" w:type="dxa"/>
            <w:vAlign w:val="bottom"/>
            <w:tcBorders>
              <w:bottom w:val="single" w:sz="8" w:color="D5E6F7"/>
            </w:tcBorders>
            <w:shd w:val="clear" w:color="auto" w:fill="D5E6F7"/>
          </w:tcPr>
          <w:p>
            <w:pPr>
              <w:spacing w:after="0"/>
              <w:rPr>
                <w:sz w:val="18"/>
                <w:szCs w:val="18"/>
                <w:color w:val="auto"/>
              </w:rPr>
            </w:pPr>
          </w:p>
        </w:tc>
        <w:tc>
          <w:tcPr>
            <w:tcW w:w="480" w:type="dxa"/>
            <w:vAlign w:val="bottom"/>
            <w:tcBorders>
              <w:bottom w:val="single" w:sz="8" w:color="D5E6F7"/>
            </w:tcBorders>
            <w:shd w:val="clear" w:color="auto" w:fill="D5E6F7"/>
          </w:tcPr>
          <w:p>
            <w:pPr>
              <w:spacing w:after="0"/>
              <w:rPr>
                <w:sz w:val="18"/>
                <w:szCs w:val="18"/>
                <w:color w:val="auto"/>
              </w:rPr>
            </w:pPr>
          </w:p>
        </w:tc>
        <w:tc>
          <w:tcPr>
            <w:tcW w:w="2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D5E6F7"/>
            </w:tcBorders>
            <w:shd w:val="clear" w:color="auto" w:fill="D5E6F7"/>
          </w:tcPr>
          <w:p>
            <w:pPr>
              <w:spacing w:after="0"/>
              <w:rPr>
                <w:sz w:val="18"/>
                <w:szCs w:val="18"/>
                <w:color w:val="auto"/>
              </w:rPr>
            </w:pPr>
          </w:p>
        </w:tc>
        <w:tc>
          <w:tcPr>
            <w:tcW w:w="1160" w:type="dxa"/>
            <w:vAlign w:val="bottom"/>
            <w:tcBorders>
              <w:bottom w:val="single" w:sz="8" w:color="D5E6F7"/>
            </w:tcBorders>
            <w:shd w:val="clear" w:color="auto" w:fill="D5E6F7"/>
          </w:tcPr>
          <w:p>
            <w:pPr>
              <w:spacing w:after="0"/>
              <w:rPr>
                <w:sz w:val="18"/>
                <w:szCs w:val="18"/>
                <w:color w:val="auto"/>
              </w:rPr>
            </w:pPr>
          </w:p>
        </w:tc>
        <w:tc>
          <w:tcPr>
            <w:tcW w:w="200" w:type="dxa"/>
            <w:vAlign w:val="bottom"/>
            <w:tcBorders>
              <w:bottom w:val="single" w:sz="8" w:color="D5E6F7"/>
            </w:tcBorders>
            <w:shd w:val="clear" w:color="auto" w:fill="D5E6F7"/>
          </w:tcPr>
          <w:p>
            <w:pPr>
              <w:spacing w:after="0"/>
              <w:rPr>
                <w:sz w:val="18"/>
                <w:szCs w:val="18"/>
                <w:color w:val="auto"/>
              </w:rPr>
            </w:pPr>
          </w:p>
        </w:tc>
        <w:tc>
          <w:tcPr>
            <w:tcW w:w="20" w:type="dxa"/>
            <w:vAlign w:val="bottom"/>
            <w:tcBorders>
              <w:bottom w:val="single" w:sz="8" w:color="D5E6F7"/>
            </w:tcBorders>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17,298</w:t>
            </w:r>
          </w:p>
        </w:tc>
        <w:tc>
          <w:tcPr>
            <w:tcW w:w="10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D5E6F7"/>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48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9,782</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D5E6F7"/>
          </w:tcPr>
          <w:p>
            <w:pPr>
              <w:ind w:left="140"/>
              <w:spacing w:after="0"/>
              <w:rPr>
                <w:sz w:val="20"/>
                <w:szCs w:val="20"/>
                <w:color w:val="auto"/>
              </w:rPr>
            </w:pPr>
            <w:r>
              <w:rPr>
                <w:rFonts w:ascii="Arial" w:cs="Arial" w:eastAsia="Arial" w:hAnsi="Arial"/>
                <w:sz w:val="18"/>
                <w:szCs w:val="18"/>
                <w:color w:val="auto"/>
              </w:rPr>
              <w:t>Corporate debt securities</w:t>
            </w:r>
          </w:p>
        </w:tc>
        <w:tc>
          <w:tcPr>
            <w:tcW w:w="182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Asset-backed securities</w:t>
            </w:r>
          </w:p>
        </w:tc>
        <w:tc>
          <w:tcPr>
            <w:tcW w:w="1820" w:type="dxa"/>
            <w:vAlign w:val="bottom"/>
            <w:tcBorders>
              <w:bottom w:val="single" w:sz="8" w:color="D5E6F7"/>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D5E6F7"/>
            </w:tcBorders>
          </w:tcPr>
          <w:p>
            <w:pPr>
              <w:spacing w:after="0"/>
              <w:rPr>
                <w:sz w:val="18"/>
                <w:szCs w:val="18"/>
                <w:color w:val="auto"/>
              </w:rPr>
            </w:pPr>
          </w:p>
        </w:tc>
        <w:tc>
          <w:tcPr>
            <w:tcW w:w="20" w:type="dxa"/>
            <w:vAlign w:val="bottom"/>
            <w:tcBorders>
              <w:bottom w:val="single" w:sz="8" w:color="D5E6F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D5E6F7"/>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Total short-term investments</w:t>
            </w:r>
          </w:p>
        </w:tc>
        <w:tc>
          <w:tcPr>
            <w:tcW w:w="1820" w:type="dxa"/>
            <w:vAlign w:val="bottom"/>
            <w:tcBorders>
              <w:bottom w:val="single" w:sz="8" w:color="D5E6F7"/>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97"/>
              </w:rPr>
              <w:t>9,782</w:t>
            </w:r>
          </w:p>
        </w:tc>
        <w:tc>
          <w:tcPr>
            <w:tcW w:w="2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Borders>
              <w:bottom w:val="single" w:sz="8" w:color="D5E6F7"/>
            </w:tcBorders>
            <w:shd w:val="clear" w:color="auto" w:fill="D5E6F7"/>
          </w:tcPr>
          <w:p>
            <w:pPr>
              <w:spacing w:after="0"/>
              <w:rPr>
                <w:sz w:val="18"/>
                <w:szCs w:val="18"/>
                <w:color w:val="auto"/>
              </w:rPr>
            </w:pPr>
          </w:p>
        </w:tc>
        <w:tc>
          <w:tcPr>
            <w:tcW w:w="20" w:type="dxa"/>
            <w:vAlign w:val="bottom"/>
            <w:tcBorders>
              <w:bottom w:val="single" w:sz="8" w:color="D5E6F7"/>
            </w:tcBorders>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classifies its cash equivalents and short-term investments within Level 1 or Level 2 because it uses quoted market prices or alternative pricing sources and models utilizing market observable inputs to determine their fair value. The Company has no Level 3 assets or liabilities. For the periods presented, the amortized cost of cash equivalents and marketable securities approximated their fair value and there were no material realized or unrealized gains or losses, either individually or in the aggregate.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short-term investments were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3"/>
                <w:szCs w:val="13"/>
                <w:color w:val="auto"/>
              </w:rPr>
            </w:pPr>
          </w:p>
        </w:tc>
        <w:tc>
          <w:tcPr>
            <w:tcW w:w="136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January 31,</w:t>
            </w:r>
          </w:p>
        </w:tc>
      </w:tr>
      <w:tr>
        <w:trPr>
          <w:trHeight w:val="171"/>
        </w:trPr>
        <w:tc>
          <w:tcPr>
            <w:tcW w:w="8020" w:type="dxa"/>
            <w:vAlign w:val="bottom"/>
            <w:tcBorders>
              <w:bottom w:val="single" w:sz="8" w:color="D5E6F7"/>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D5E6F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5E6F7"/>
            </w:tcBorders>
          </w:tcPr>
          <w:p>
            <w:pPr>
              <w:spacing w:after="0"/>
              <w:rPr>
                <w:sz w:val="14"/>
                <w:szCs w:val="14"/>
                <w:color w:val="auto"/>
              </w:rPr>
            </w:pPr>
          </w:p>
        </w:tc>
      </w:tr>
      <w:tr>
        <w:trPr>
          <w:trHeight w:val="210"/>
        </w:trPr>
        <w:tc>
          <w:tcPr>
            <w:tcW w:w="8020" w:type="dxa"/>
            <w:vAlign w:val="bottom"/>
            <w:shd w:val="clear" w:color="auto" w:fill="D5E6F7"/>
          </w:tcPr>
          <w:p>
            <w:pPr>
              <w:spacing w:after="0"/>
              <w:rPr>
                <w:sz w:val="20"/>
                <w:szCs w:val="20"/>
                <w:color w:val="auto"/>
              </w:rPr>
            </w:pPr>
            <w:r>
              <w:rPr>
                <w:rFonts w:ascii="Arial" w:cs="Arial" w:eastAsia="Arial" w:hAnsi="Arial"/>
                <w:sz w:val="18"/>
                <w:szCs w:val="18"/>
                <w:color w:val="auto"/>
              </w:rPr>
              <w:t>Due in one year or less</w:t>
            </w:r>
          </w:p>
        </w:tc>
        <w:tc>
          <w:tcPr>
            <w:tcW w:w="220" w:type="dxa"/>
            <w:vAlign w:val="bottom"/>
            <w:shd w:val="clear" w:color="auto" w:fill="D5E6F7"/>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5E6F7"/>
          </w:tcPr>
          <w:p>
            <w:pPr>
              <w:jc w:val="right"/>
              <w:spacing w:after="0"/>
              <w:rPr>
                <w:sz w:val="20"/>
                <w:szCs w:val="20"/>
                <w:color w:val="auto"/>
              </w:rPr>
            </w:pPr>
            <w:r>
              <w:rPr>
                <w:rFonts w:ascii="Arial" w:cs="Arial" w:eastAsia="Arial" w:hAnsi="Arial"/>
                <w:sz w:val="17"/>
                <w:szCs w:val="17"/>
                <w:color w:val="auto"/>
              </w:rPr>
              <w:t>10,377</w:t>
            </w:r>
          </w:p>
        </w:tc>
        <w:tc>
          <w:tcPr>
            <w:tcW w:w="200" w:type="dxa"/>
            <w:vAlign w:val="bottom"/>
            <w:shd w:val="clear" w:color="auto" w:fill="D5E6F7"/>
          </w:tcPr>
          <w:p>
            <w:pPr>
              <w:spacing w:after="0"/>
              <w:rPr>
                <w:sz w:val="18"/>
                <w:szCs w:val="18"/>
                <w:color w:val="auto"/>
              </w:rPr>
            </w:pPr>
          </w:p>
        </w:tc>
        <w:tc>
          <w:tcPr>
            <w:tcW w:w="200" w:type="dxa"/>
            <w:vAlign w:val="bottom"/>
            <w:shd w:val="clear" w:color="auto" w:fill="D5E6F7"/>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D5E6F7"/>
          </w:tcPr>
          <w:p>
            <w:pPr>
              <w:jc w:val="right"/>
              <w:spacing w:after="0"/>
              <w:rPr>
                <w:sz w:val="20"/>
                <w:szCs w:val="20"/>
                <w:color w:val="auto"/>
              </w:rPr>
            </w:pPr>
            <w:r>
              <w:rPr>
                <w:rFonts w:ascii="Arial" w:cs="Arial" w:eastAsia="Arial" w:hAnsi="Arial"/>
                <w:sz w:val="17"/>
                <w:szCs w:val="17"/>
                <w:color w:val="auto"/>
              </w:rPr>
              <w:t>11,013</w:t>
            </w:r>
          </w:p>
        </w:tc>
        <w:tc>
          <w:tcPr>
            <w:tcW w:w="100" w:type="dxa"/>
            <w:vAlign w:val="bottom"/>
            <w:shd w:val="clear" w:color="auto" w:fill="D5E6F7"/>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Due after one year to two years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8020" w:type="dxa"/>
            <w:vAlign w:val="bottom"/>
            <w:tcBorders>
              <w:top w:val="single" w:sz="8" w:color="D5E6F7"/>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D5E6F7"/>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7"/>
                <w:szCs w:val="17"/>
                <w:color w:val="auto"/>
              </w:rPr>
              <w:t>11,613</w:t>
            </w:r>
          </w:p>
        </w:tc>
        <w:tc>
          <w:tcPr>
            <w:tcW w:w="200" w:type="dxa"/>
            <w:vAlign w:val="bottom"/>
            <w:tcBorders>
              <w:top w:val="single" w:sz="8" w:color="D5E6F7"/>
              <w:bottom w:val="single" w:sz="8" w:color="D5E6F7"/>
            </w:tcBorders>
            <w:shd w:val="clear" w:color="auto" w:fill="D5E6F7"/>
          </w:tcPr>
          <w:p>
            <w:pPr>
              <w:spacing w:after="0"/>
              <w:rPr>
                <w:sz w:val="18"/>
                <w:szCs w:val="18"/>
                <w:color w:val="auto"/>
              </w:rPr>
            </w:pPr>
          </w:p>
        </w:tc>
        <w:tc>
          <w:tcPr>
            <w:tcW w:w="200" w:type="dxa"/>
            <w:vAlign w:val="bottom"/>
            <w:tcBorders>
              <w:top w:val="single" w:sz="8" w:color="auto"/>
              <w:bottom w:val="single" w:sz="8" w:color="auto"/>
            </w:tcBorders>
            <w:shd w:val="clear" w:color="auto" w:fill="D5E6F7"/>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7"/>
                <w:szCs w:val="17"/>
                <w:color w:val="auto"/>
              </w:rPr>
              <w:t>11,013</w:t>
            </w:r>
          </w:p>
        </w:tc>
        <w:tc>
          <w:tcPr>
            <w:tcW w:w="10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3" w:name="page74"/>
    <w:bookmarkEnd w:id="73"/>
    <w:p>
      <w:pPr>
        <w:spacing w:after="0"/>
        <w:rPr>
          <w:sz w:val="20"/>
          <w:szCs w:val="20"/>
          <w:color w:val="auto"/>
        </w:rPr>
      </w:pPr>
      <w:r>
        <w:rPr>
          <w:rFonts w:ascii="Arial" w:cs="Arial" w:eastAsia="Arial" w:hAnsi="Arial"/>
          <w:sz w:val="25"/>
          <w:szCs w:val="25"/>
          <w:b w:val="1"/>
          <w:bCs w:val="1"/>
          <w:color w:val="003A5D"/>
        </w:rPr>
        <w:t>Note 5: Balance Sheet Components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sections and tables provide details of selected balance sheet items (in thousands):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D5E6F7"/>
            </w:tcBorders>
          </w:tcPr>
          <w:p>
            <w:pPr>
              <w:spacing w:after="0"/>
              <w:rPr>
                <w:sz w:val="14"/>
                <w:szCs w:val="14"/>
                <w:color w:val="auto"/>
              </w:rPr>
            </w:pPr>
          </w:p>
        </w:tc>
        <w:tc>
          <w:tcPr>
            <w:tcW w:w="1400" w:type="dxa"/>
            <w:vAlign w:val="bottom"/>
            <w:tcBorders>
              <w:bottom w:val="single" w:sz="8" w:color="D5E6F7"/>
            </w:tcBorders>
          </w:tcPr>
          <w:p>
            <w:pPr>
              <w:spacing w:after="0"/>
              <w:rPr>
                <w:sz w:val="14"/>
                <w:szCs w:val="14"/>
                <w:color w:val="auto"/>
              </w:rPr>
            </w:pPr>
          </w:p>
        </w:tc>
        <w:tc>
          <w:tcPr>
            <w:tcW w:w="12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5E6F7"/>
            </w:tcBorders>
          </w:tcPr>
          <w:p>
            <w:pPr>
              <w:spacing w:after="0"/>
              <w:rPr>
                <w:sz w:val="14"/>
                <w:szCs w:val="14"/>
                <w:color w:val="auto"/>
              </w:rPr>
            </w:pPr>
          </w:p>
        </w:tc>
        <w:tc>
          <w:tcPr>
            <w:tcW w:w="10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5E6F7"/>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D5E6F7"/>
          </w:tcPr>
          <w:p>
            <w:pPr>
              <w:spacing w:after="0"/>
              <w:rPr>
                <w:sz w:val="20"/>
                <w:szCs w:val="20"/>
                <w:color w:val="auto"/>
              </w:rPr>
            </w:pPr>
            <w:r>
              <w:rPr>
                <w:rFonts w:ascii="Arial" w:cs="Arial" w:eastAsia="Arial" w:hAnsi="Arial"/>
                <w:sz w:val="18"/>
                <w:szCs w:val="18"/>
                <w:color w:val="auto"/>
              </w:rPr>
              <w:t>Finished goods</w:t>
            </w:r>
          </w:p>
        </w:tc>
        <w:tc>
          <w:tcPr>
            <w:tcW w:w="140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10,452</w:t>
            </w:r>
          </w:p>
        </w:tc>
        <w:tc>
          <w:tcPr>
            <w:tcW w:w="16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Raw materials</w:t>
            </w:r>
          </w:p>
        </w:tc>
        <w:tc>
          <w:tcPr>
            <w:tcW w:w="1400" w:type="dxa"/>
            <w:vAlign w:val="bottom"/>
            <w:tcBorders>
              <w:bottom w:val="single" w:sz="8" w:color="D5E6F7"/>
            </w:tcBorders>
          </w:tcPr>
          <w:p>
            <w:pPr>
              <w:spacing w:after="0"/>
              <w:rPr>
                <w:sz w:val="18"/>
                <w:szCs w:val="18"/>
                <w:color w:val="auto"/>
              </w:rPr>
            </w:pPr>
          </w:p>
        </w:tc>
        <w:tc>
          <w:tcPr>
            <w:tcW w:w="12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160" w:type="dxa"/>
            <w:vAlign w:val="bottom"/>
            <w:tcBorders>
              <w:bottom w:val="single" w:sz="8" w:color="D5E6F7"/>
            </w:tcBorders>
          </w:tcPr>
          <w:p>
            <w:pPr>
              <w:spacing w:after="0"/>
              <w:rPr>
                <w:sz w:val="18"/>
                <w:szCs w:val="18"/>
                <w:color w:val="auto"/>
              </w:rPr>
            </w:pPr>
          </w:p>
        </w:tc>
        <w:tc>
          <w:tcPr>
            <w:tcW w:w="10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D5E6F7"/>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bottom w:val="single" w:sz="8" w:color="D5E6F7"/>
            </w:tcBorders>
            <w:shd w:val="clear" w:color="auto" w:fill="D5E6F7"/>
          </w:tcPr>
          <w:p>
            <w:pPr>
              <w:ind w:left="140"/>
              <w:spacing w:after="0"/>
              <w:rPr>
                <w:sz w:val="20"/>
                <w:szCs w:val="20"/>
                <w:color w:val="auto"/>
              </w:rPr>
            </w:pPr>
            <w:r>
              <w:rPr>
                <w:rFonts w:ascii="Arial" w:cs="Arial" w:eastAsia="Arial" w:hAnsi="Arial"/>
                <w:sz w:val="18"/>
                <w:szCs w:val="18"/>
                <w:color w:val="auto"/>
              </w:rPr>
              <w:t>Total inventory</w:t>
            </w:r>
          </w:p>
        </w:tc>
        <w:tc>
          <w:tcPr>
            <w:tcW w:w="1400" w:type="dxa"/>
            <w:vAlign w:val="bottom"/>
            <w:tcBorders>
              <w:bottom w:val="single" w:sz="8" w:color="D5E6F7"/>
            </w:tcBorders>
            <w:shd w:val="clear" w:color="auto" w:fill="D5E6F7"/>
          </w:tcPr>
          <w:p>
            <w:pPr>
              <w:spacing w:after="0"/>
              <w:rPr>
                <w:sz w:val="18"/>
                <w:szCs w:val="18"/>
                <w:color w:val="auto"/>
              </w:rPr>
            </w:pPr>
          </w:p>
        </w:tc>
        <w:tc>
          <w:tcPr>
            <w:tcW w:w="12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13,841</w:t>
            </w:r>
          </w:p>
        </w:tc>
        <w:tc>
          <w:tcPr>
            <w:tcW w:w="160" w:type="dxa"/>
            <w:vAlign w:val="bottom"/>
            <w:tcBorders>
              <w:bottom w:val="single" w:sz="8" w:color="D5E6F7"/>
            </w:tcBorders>
            <w:shd w:val="clear" w:color="auto" w:fill="D5E6F7"/>
          </w:tcPr>
          <w:p>
            <w:pPr>
              <w:spacing w:after="0"/>
              <w:rPr>
                <w:sz w:val="18"/>
                <w:szCs w:val="18"/>
                <w:color w:val="auto"/>
              </w:rPr>
            </w:pPr>
          </w:p>
        </w:tc>
        <w:tc>
          <w:tcPr>
            <w:tcW w:w="10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003A5D"/>
              </w:rPr>
              <w:t>Property and equipment, net</w:t>
            </w: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0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04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Estimated life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0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D5E6F7"/>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2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5E6F7"/>
            </w:tcBorders>
          </w:tcPr>
          <w:p>
            <w:pPr>
              <w:spacing w:after="0"/>
              <w:rPr>
                <w:sz w:val="14"/>
                <w:szCs w:val="14"/>
                <w:color w:val="auto"/>
              </w:rPr>
            </w:pPr>
          </w:p>
        </w:tc>
        <w:tc>
          <w:tcPr>
            <w:tcW w:w="10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5E6F7"/>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D5E6F7"/>
          </w:tcPr>
          <w:p>
            <w:pPr>
              <w:spacing w:after="0"/>
              <w:rPr>
                <w:sz w:val="20"/>
                <w:szCs w:val="20"/>
                <w:color w:val="auto"/>
              </w:rPr>
            </w:pPr>
            <w:r>
              <w:rPr>
                <w:rFonts w:ascii="Arial" w:cs="Arial" w:eastAsia="Arial" w:hAnsi="Arial"/>
                <w:sz w:val="18"/>
                <w:szCs w:val="18"/>
                <w:color w:val="auto"/>
              </w:rPr>
              <w:t>Computer hardware and software</w:t>
            </w:r>
          </w:p>
        </w:tc>
        <w:tc>
          <w:tcPr>
            <w:tcW w:w="1400" w:type="dxa"/>
            <w:vAlign w:val="bottom"/>
            <w:shd w:val="clear" w:color="auto" w:fill="D5E6F7"/>
          </w:tcPr>
          <w:p>
            <w:pPr>
              <w:jc w:val="center"/>
              <w:spacing w:after="0"/>
              <w:rPr>
                <w:sz w:val="20"/>
                <w:szCs w:val="20"/>
                <w:color w:val="auto"/>
              </w:rPr>
            </w:pPr>
            <w:r>
              <w:rPr>
                <w:rFonts w:ascii="Arial" w:cs="Arial" w:eastAsia="Arial" w:hAnsi="Arial"/>
                <w:sz w:val="18"/>
                <w:szCs w:val="18"/>
                <w:color w:val="auto"/>
                <w:w w:val="99"/>
              </w:rPr>
              <w:t>3-4</w:t>
            </w:r>
          </w:p>
        </w:tc>
        <w:tc>
          <w:tcPr>
            <w:tcW w:w="38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6,996</w:t>
            </w:r>
          </w:p>
        </w:tc>
        <w:tc>
          <w:tcPr>
            <w:tcW w:w="160" w:type="dxa"/>
            <w:vAlign w:val="bottom"/>
            <w:shd w:val="clear" w:color="auto" w:fill="D5E6F7"/>
          </w:tcPr>
          <w:p>
            <w:pPr>
              <w:spacing w:after="0"/>
              <w:rPr>
                <w:sz w:val="19"/>
                <w:szCs w:val="19"/>
                <w:color w:val="auto"/>
              </w:rPr>
            </w:pPr>
          </w:p>
        </w:tc>
        <w:tc>
          <w:tcPr>
            <w:tcW w:w="36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6,944</w:t>
            </w:r>
          </w:p>
        </w:tc>
        <w:tc>
          <w:tcPr>
            <w:tcW w:w="100" w:type="dxa"/>
            <w:vAlign w:val="bottom"/>
            <w:shd w:val="clear" w:color="auto" w:fill="D5E6F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Network and engineering equipment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D5E6F7"/>
          </w:tcPr>
          <w:p>
            <w:pPr>
              <w:spacing w:after="0"/>
              <w:rPr>
                <w:sz w:val="20"/>
                <w:szCs w:val="20"/>
                <w:color w:val="auto"/>
              </w:rPr>
            </w:pPr>
            <w:r>
              <w:rPr>
                <w:rFonts w:ascii="Arial" w:cs="Arial" w:eastAsia="Arial" w:hAnsi="Arial"/>
                <w:sz w:val="18"/>
                <w:szCs w:val="18"/>
                <w:color w:val="auto"/>
              </w:rPr>
              <w:t>Website development costs</w:t>
            </w:r>
          </w:p>
        </w:tc>
        <w:tc>
          <w:tcPr>
            <w:tcW w:w="1400" w:type="dxa"/>
            <w:vAlign w:val="bottom"/>
            <w:shd w:val="clear" w:color="auto" w:fill="D5E6F7"/>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4,816</w:t>
            </w:r>
          </w:p>
        </w:tc>
        <w:tc>
          <w:tcPr>
            <w:tcW w:w="160" w:type="dxa"/>
            <w:vAlign w:val="bottom"/>
            <w:shd w:val="clear" w:color="auto" w:fill="D5E6F7"/>
          </w:tcPr>
          <w:p>
            <w:pPr>
              <w:spacing w:after="0"/>
              <w:rPr>
                <w:sz w:val="19"/>
                <w:szCs w:val="19"/>
                <w:color w:val="auto"/>
              </w:rPr>
            </w:pPr>
          </w:p>
        </w:tc>
        <w:tc>
          <w:tcPr>
            <w:tcW w:w="10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D5E6F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Customer premise equipment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D5E6F7"/>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shd w:val="clear" w:color="auto" w:fill="D5E6F7"/>
          </w:tcPr>
          <w:p>
            <w:pPr>
              <w:jc w:val="center"/>
              <w:spacing w:after="0"/>
              <w:rPr>
                <w:sz w:val="20"/>
                <w:szCs w:val="20"/>
                <w:color w:val="auto"/>
              </w:rPr>
            </w:pPr>
            <w:r>
              <w:rPr>
                <w:rFonts w:ascii="Arial" w:cs="Arial" w:eastAsia="Arial" w:hAnsi="Arial"/>
                <w:sz w:val="18"/>
                <w:szCs w:val="18"/>
                <w:color w:val="auto"/>
                <w:w w:val="99"/>
              </w:rPr>
              <w:t>1-5</w:t>
            </w:r>
          </w:p>
        </w:tc>
        <w:tc>
          <w:tcPr>
            <w:tcW w:w="12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D5E6F7"/>
          </w:tcPr>
          <w:p>
            <w:pPr>
              <w:spacing w:after="0"/>
              <w:rPr>
                <w:sz w:val="19"/>
                <w:szCs w:val="19"/>
                <w:color w:val="auto"/>
              </w:rPr>
            </w:pPr>
          </w:p>
        </w:tc>
        <w:tc>
          <w:tcPr>
            <w:tcW w:w="10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D5E6F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Office furniture and fixtures</w:t>
            </w:r>
          </w:p>
        </w:tc>
        <w:tc>
          <w:tcPr>
            <w:tcW w:w="1400" w:type="dxa"/>
            <w:vAlign w:val="bottom"/>
            <w:tcBorders>
              <w:bottom w:val="single" w:sz="8" w:color="D5E6F7"/>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D5E6F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D5E6F7"/>
            </w:tcBorders>
          </w:tcPr>
          <w:p>
            <w:pPr>
              <w:spacing w:after="0"/>
              <w:rPr>
                <w:sz w:val="19"/>
                <w:szCs w:val="19"/>
                <w:color w:val="auto"/>
              </w:rPr>
            </w:pPr>
          </w:p>
        </w:tc>
        <w:tc>
          <w:tcPr>
            <w:tcW w:w="100" w:type="dxa"/>
            <w:vAlign w:val="bottom"/>
            <w:tcBorders>
              <w:bottom w:val="single" w:sz="8" w:color="D5E6F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D5E6F7"/>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D5E6F7"/>
          </w:tcPr>
          <w:p>
            <w:pPr>
              <w:spacing w:after="0"/>
              <w:rPr>
                <w:sz w:val="20"/>
                <w:szCs w:val="20"/>
                <w:color w:val="auto"/>
              </w:rPr>
            </w:pPr>
            <w:r>
              <w:rPr>
                <w:rFonts w:ascii="Arial" w:cs="Arial" w:eastAsia="Arial" w:hAnsi="Arial"/>
                <w:sz w:val="18"/>
                <w:szCs w:val="18"/>
                <w:color w:val="auto"/>
              </w:rPr>
              <w:t>Total property and equipment</w:t>
            </w:r>
          </w:p>
        </w:tc>
        <w:tc>
          <w:tcPr>
            <w:tcW w:w="1400" w:type="dxa"/>
            <w:vAlign w:val="bottom"/>
            <w:shd w:val="clear" w:color="auto" w:fill="D5E6F7"/>
          </w:tcPr>
          <w:p>
            <w:pPr>
              <w:spacing w:after="0"/>
              <w:rPr>
                <w:sz w:val="19"/>
                <w:szCs w:val="19"/>
                <w:color w:val="auto"/>
              </w:rPr>
            </w:pPr>
          </w:p>
        </w:tc>
        <w:tc>
          <w:tcPr>
            <w:tcW w:w="12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21,327</w:t>
            </w:r>
          </w:p>
        </w:tc>
        <w:tc>
          <w:tcPr>
            <w:tcW w:w="160" w:type="dxa"/>
            <w:vAlign w:val="bottom"/>
            <w:shd w:val="clear" w:color="auto" w:fill="D5E6F7"/>
          </w:tcPr>
          <w:p>
            <w:pPr>
              <w:spacing w:after="0"/>
              <w:rPr>
                <w:sz w:val="19"/>
                <w:szCs w:val="19"/>
                <w:color w:val="auto"/>
              </w:rPr>
            </w:pPr>
          </w:p>
        </w:tc>
        <w:tc>
          <w:tcPr>
            <w:tcW w:w="10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16,882</w:t>
            </w:r>
          </w:p>
        </w:tc>
        <w:tc>
          <w:tcPr>
            <w:tcW w:w="100" w:type="dxa"/>
            <w:vAlign w:val="bottom"/>
            <w:shd w:val="clear" w:color="auto" w:fill="D5E6F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(11,811)</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D5E6F7"/>
          </w:tcPr>
          <w:p>
            <w:pPr>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D5E6F7"/>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shd w:val="clear" w:color="auto" w:fill="D5E6F7"/>
          </w:tcPr>
          <w:p>
            <w:pPr>
              <w:spacing w:after="0"/>
              <w:rPr>
                <w:sz w:val="19"/>
                <w:szCs w:val="19"/>
                <w:color w:val="auto"/>
              </w:rPr>
            </w:pPr>
          </w:p>
        </w:tc>
        <w:tc>
          <w:tcPr>
            <w:tcW w:w="1400" w:type="dxa"/>
            <w:vAlign w:val="bottom"/>
            <w:shd w:val="clear" w:color="auto" w:fill="D5E6F7"/>
          </w:tcPr>
          <w:p>
            <w:pPr>
              <w:spacing w:after="0"/>
              <w:rPr>
                <w:sz w:val="19"/>
                <w:szCs w:val="19"/>
                <w:color w:val="auto"/>
              </w:rPr>
            </w:pPr>
          </w:p>
        </w:tc>
        <w:tc>
          <w:tcPr>
            <w:tcW w:w="38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6,481</w:t>
            </w:r>
          </w:p>
        </w:tc>
        <w:tc>
          <w:tcPr>
            <w:tcW w:w="160" w:type="dxa"/>
            <w:vAlign w:val="bottom"/>
            <w:shd w:val="clear" w:color="auto" w:fill="D5E6F7"/>
          </w:tcPr>
          <w:p>
            <w:pPr>
              <w:spacing w:after="0"/>
              <w:rPr>
                <w:sz w:val="19"/>
                <w:szCs w:val="19"/>
                <w:color w:val="auto"/>
              </w:rPr>
            </w:pPr>
          </w:p>
        </w:tc>
        <w:tc>
          <w:tcPr>
            <w:tcW w:w="36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5,071</w:t>
            </w:r>
          </w:p>
        </w:tc>
        <w:tc>
          <w:tcPr>
            <w:tcW w:w="100" w:type="dxa"/>
            <w:vAlign w:val="bottom"/>
            <w:shd w:val="clear" w:color="auto" w:fill="D5E6F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D5E6F7"/>
            </w:tcBorders>
          </w:tcPr>
          <w:p>
            <w:pPr>
              <w:spacing w:after="0" w:line="20" w:lineRule="exact"/>
              <w:rPr>
                <w:sz w:val="1"/>
                <w:szCs w:val="1"/>
                <w:color w:val="auto"/>
              </w:rPr>
            </w:pPr>
          </w:p>
        </w:tc>
        <w:tc>
          <w:tcPr>
            <w:tcW w:w="1400" w:type="dxa"/>
            <w:vAlign w:val="bottom"/>
            <w:tcBorders>
              <w:top w:val="single" w:sz="8" w:color="D5E6F7"/>
            </w:tcBorders>
          </w:tcPr>
          <w:p>
            <w:pPr>
              <w:spacing w:after="0" w:line="20" w:lineRule="exact"/>
              <w:rPr>
                <w:sz w:val="1"/>
                <w:szCs w:val="1"/>
                <w:color w:val="auto"/>
              </w:rPr>
            </w:pPr>
          </w:p>
        </w:tc>
        <w:tc>
          <w:tcPr>
            <w:tcW w:w="120" w:type="dxa"/>
            <w:vAlign w:val="bottom"/>
            <w:tcBorders>
              <w:top w:val="single" w:sz="8" w:color="D5E6F7"/>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5E6F7"/>
            </w:tcBorders>
          </w:tcPr>
          <w:p>
            <w:pPr>
              <w:spacing w:after="0" w:line="20" w:lineRule="exact"/>
              <w:rPr>
                <w:sz w:val="1"/>
                <w:szCs w:val="1"/>
                <w:color w:val="auto"/>
              </w:rPr>
            </w:pPr>
          </w:p>
        </w:tc>
        <w:tc>
          <w:tcPr>
            <w:tcW w:w="100" w:type="dxa"/>
            <w:vAlign w:val="bottom"/>
            <w:tcBorders>
              <w:top w:val="single" w:sz="8" w:color="D5E6F7"/>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6F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and amortization of property and equipment totaled $3.1 million, $2.9 million and $2.5 million in fiscal 2022, 2021 and 2020,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Other current and non-current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5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3"/>
                <w:szCs w:val="13"/>
                <w:color w:val="auto"/>
              </w:rPr>
            </w:pPr>
          </w:p>
        </w:tc>
        <w:tc>
          <w:tcPr>
            <w:tcW w:w="150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January 31,</w:t>
            </w:r>
          </w:p>
        </w:tc>
      </w:tr>
      <w:tr>
        <w:trPr>
          <w:trHeight w:val="171"/>
        </w:trPr>
        <w:tc>
          <w:tcPr>
            <w:tcW w:w="5640" w:type="dxa"/>
            <w:vAlign w:val="bottom"/>
            <w:tcBorders>
              <w:bottom w:val="single" w:sz="8" w:color="D5E6F7"/>
            </w:tcBorders>
          </w:tcPr>
          <w:p>
            <w:pPr>
              <w:spacing w:after="0"/>
              <w:rPr>
                <w:sz w:val="14"/>
                <w:szCs w:val="14"/>
                <w:color w:val="auto"/>
              </w:rPr>
            </w:pPr>
          </w:p>
        </w:tc>
        <w:tc>
          <w:tcPr>
            <w:tcW w:w="192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5E6F7"/>
            </w:tcBorders>
          </w:tcPr>
          <w:p>
            <w:pPr>
              <w:spacing w:after="0"/>
              <w:rPr>
                <w:sz w:val="14"/>
                <w:szCs w:val="14"/>
                <w:color w:val="auto"/>
              </w:rPr>
            </w:pPr>
          </w:p>
        </w:tc>
      </w:tr>
      <w:tr>
        <w:trPr>
          <w:trHeight w:val="223"/>
        </w:trPr>
        <w:tc>
          <w:tcPr>
            <w:tcW w:w="5640" w:type="dxa"/>
            <w:vAlign w:val="bottom"/>
            <w:shd w:val="clear" w:color="auto" w:fill="D5E6F7"/>
          </w:tcPr>
          <w:p>
            <w:pPr>
              <w:spacing w:after="0"/>
              <w:rPr>
                <w:sz w:val="20"/>
                <w:szCs w:val="20"/>
                <w:color w:val="auto"/>
              </w:rPr>
            </w:pPr>
            <w:r>
              <w:rPr>
                <w:rFonts w:ascii="Arial" w:cs="Arial" w:eastAsia="Arial" w:hAnsi="Arial"/>
                <w:sz w:val="18"/>
                <w:szCs w:val="18"/>
                <w:color w:val="auto"/>
              </w:rPr>
              <w:t>Deferred sales commissions, current</w:t>
            </w:r>
          </w:p>
        </w:tc>
        <w:tc>
          <w:tcPr>
            <w:tcW w:w="218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6,395</w:t>
            </w:r>
          </w:p>
        </w:tc>
        <w:tc>
          <w:tcPr>
            <w:tcW w:w="260" w:type="dxa"/>
            <w:vAlign w:val="bottom"/>
            <w:shd w:val="clear" w:color="auto" w:fill="D5E6F7"/>
          </w:tcPr>
          <w:p>
            <w:pPr>
              <w:spacing w:after="0"/>
              <w:rPr>
                <w:sz w:val="19"/>
                <w:szCs w:val="19"/>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D5E6F7"/>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Prepaid expenses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4,239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19"/>
                <w:szCs w:val="19"/>
                <w:color w:val="auto"/>
              </w:rPr>
            </w:pPr>
          </w:p>
        </w:tc>
      </w:tr>
      <w:tr>
        <w:trPr>
          <w:trHeight w:val="229"/>
        </w:trPr>
        <w:tc>
          <w:tcPr>
            <w:tcW w:w="5640" w:type="dxa"/>
            <w:vAlign w:val="bottom"/>
            <w:shd w:val="clear" w:color="auto" w:fill="D5E6F7"/>
          </w:tcPr>
          <w:p>
            <w:pPr>
              <w:spacing w:after="0"/>
              <w:rPr>
                <w:sz w:val="20"/>
                <w:szCs w:val="20"/>
                <w:color w:val="auto"/>
              </w:rPr>
            </w:pPr>
            <w:r>
              <w:rPr>
                <w:rFonts w:ascii="Arial" w:cs="Arial" w:eastAsia="Arial" w:hAnsi="Arial"/>
                <w:sz w:val="18"/>
                <w:szCs w:val="18"/>
                <w:color w:val="auto"/>
              </w:rPr>
              <w:t>Convertible note receivable (see "GTC" below)</w:t>
            </w:r>
          </w:p>
        </w:tc>
        <w:tc>
          <w:tcPr>
            <w:tcW w:w="192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1,773</w:t>
            </w:r>
          </w:p>
        </w:tc>
        <w:tc>
          <w:tcPr>
            <w:tcW w:w="260" w:type="dxa"/>
            <w:vAlign w:val="bottom"/>
            <w:shd w:val="clear" w:color="auto" w:fill="D5E6F7"/>
          </w:tcPr>
          <w:p>
            <w:pPr>
              <w:spacing w:after="0"/>
              <w:rPr>
                <w:sz w:val="19"/>
                <w:szCs w:val="19"/>
                <w:color w:val="auto"/>
              </w:rPr>
            </w:pPr>
          </w:p>
        </w:tc>
        <w:tc>
          <w:tcPr>
            <w:tcW w:w="260" w:type="dxa"/>
            <w:vAlign w:val="bottom"/>
            <w:shd w:val="clear" w:color="auto" w:fill="D5E6F7"/>
          </w:tcPr>
          <w:p>
            <w:pPr>
              <w:spacing w:after="0"/>
              <w:rPr>
                <w:sz w:val="19"/>
                <w:szCs w:val="19"/>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D5E6F7"/>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Deferred inventory costs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30"/>
        </w:trPr>
        <w:tc>
          <w:tcPr>
            <w:tcW w:w="5640" w:type="dxa"/>
            <w:vAlign w:val="bottom"/>
            <w:shd w:val="clear" w:color="auto" w:fill="D5E6F7"/>
          </w:tcPr>
          <w:p>
            <w:pPr>
              <w:spacing w:after="0"/>
              <w:rPr>
                <w:sz w:val="20"/>
                <w:szCs w:val="20"/>
                <w:color w:val="auto"/>
              </w:rPr>
            </w:pPr>
            <w:r>
              <w:rPr>
                <w:rFonts w:ascii="Arial" w:cs="Arial" w:eastAsia="Arial" w:hAnsi="Arial"/>
                <w:sz w:val="18"/>
                <w:szCs w:val="18"/>
                <w:color w:val="auto"/>
              </w:rPr>
              <w:t>Other current assets</w:t>
            </w:r>
          </w:p>
        </w:tc>
        <w:tc>
          <w:tcPr>
            <w:tcW w:w="1920" w:type="dxa"/>
            <w:vAlign w:val="bottom"/>
            <w:shd w:val="clear" w:color="auto" w:fill="D5E6F7"/>
          </w:tcPr>
          <w:p>
            <w:pPr>
              <w:spacing w:after="0"/>
              <w:rPr>
                <w:sz w:val="19"/>
                <w:szCs w:val="19"/>
                <w:color w:val="auto"/>
              </w:rPr>
            </w:pPr>
          </w:p>
        </w:tc>
        <w:tc>
          <w:tcPr>
            <w:tcW w:w="260" w:type="dxa"/>
            <w:vAlign w:val="bottom"/>
            <w:tcBorders>
              <w:bottom w:val="single" w:sz="8" w:color="auto"/>
            </w:tcBorders>
            <w:shd w:val="clear" w:color="auto" w:fill="D5E6F7"/>
          </w:tcPr>
          <w:p>
            <w:pPr>
              <w:spacing w:after="0"/>
              <w:rPr>
                <w:sz w:val="19"/>
                <w:szCs w:val="19"/>
                <w:color w:val="auto"/>
              </w:rPr>
            </w:pP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D5E6F7"/>
          </w:tcPr>
          <w:p>
            <w:pPr>
              <w:spacing w:after="0"/>
              <w:rPr>
                <w:sz w:val="19"/>
                <w:szCs w:val="19"/>
                <w:color w:val="auto"/>
              </w:rPr>
            </w:pPr>
          </w:p>
        </w:tc>
        <w:tc>
          <w:tcPr>
            <w:tcW w:w="260" w:type="dxa"/>
            <w:vAlign w:val="bottom"/>
            <w:tcBorders>
              <w:bottom w:val="single" w:sz="8" w:color="auto"/>
            </w:tcBorders>
            <w:shd w:val="clear" w:color="auto" w:fill="D5E6F7"/>
          </w:tcPr>
          <w:p>
            <w:pPr>
              <w:spacing w:after="0"/>
              <w:rPr>
                <w:sz w:val="19"/>
                <w:szCs w:val="19"/>
                <w:color w:val="auto"/>
              </w:rPr>
            </w:pP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D5E6F7"/>
          </w:tcPr>
          <w:p>
            <w:pPr>
              <w:spacing w:after="0"/>
              <w:rPr>
                <w:sz w:val="19"/>
                <w:szCs w:val="19"/>
                <w:color w:val="auto"/>
              </w:rPr>
            </w:pPr>
          </w:p>
        </w:tc>
      </w:tr>
      <w:tr>
        <w:trPr>
          <w:trHeight w:val="263"/>
        </w:trPr>
        <w:tc>
          <w:tcPr>
            <w:tcW w:w="5640" w:type="dxa"/>
            <w:vAlign w:val="bottom"/>
          </w:tcPr>
          <w:p>
            <w:pPr>
              <w:ind w:left="140"/>
              <w:spacing w:after="0"/>
              <w:rPr>
                <w:sz w:val="20"/>
                <w:szCs w:val="20"/>
                <w:color w:val="auto"/>
              </w:rPr>
            </w:pPr>
            <w:r>
              <w:rPr>
                <w:rFonts w:ascii="Arial" w:cs="Arial" w:eastAsia="Arial" w:hAnsi="Arial"/>
                <w:sz w:val="18"/>
                <w:szCs w:val="18"/>
                <w:color w:val="auto"/>
              </w:rPr>
              <w:t>Total other current assets</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13,598</w:t>
            </w:r>
          </w:p>
        </w:tc>
        <w:tc>
          <w:tcPr>
            <w:tcW w:w="2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Pr>
          <w:p>
            <w:pPr>
              <w:spacing w:after="0"/>
              <w:rPr>
                <w:sz w:val="22"/>
                <w:szCs w:val="22"/>
                <w:color w:val="auto"/>
              </w:rPr>
            </w:pPr>
          </w:p>
        </w:tc>
      </w:tr>
      <w:tr>
        <w:trPr>
          <w:trHeight w:val="210"/>
        </w:trPr>
        <w:tc>
          <w:tcPr>
            <w:tcW w:w="5640" w:type="dxa"/>
            <w:vAlign w:val="bottom"/>
            <w:tcBorders>
              <w:top w:val="single" w:sz="8" w:color="D5E6F7"/>
            </w:tcBorders>
            <w:shd w:val="clear" w:color="auto" w:fill="D5E6F7"/>
          </w:tcPr>
          <w:p>
            <w:pPr>
              <w:spacing w:after="0"/>
              <w:rPr>
                <w:sz w:val="18"/>
                <w:szCs w:val="18"/>
                <w:color w:val="auto"/>
              </w:rPr>
            </w:pPr>
          </w:p>
        </w:tc>
        <w:tc>
          <w:tcPr>
            <w:tcW w:w="1920" w:type="dxa"/>
            <w:vAlign w:val="bottom"/>
            <w:tcBorders>
              <w:top w:val="single" w:sz="8" w:color="D5E6F7"/>
            </w:tcBorders>
            <w:shd w:val="clear" w:color="auto" w:fill="D5E6F7"/>
          </w:tcPr>
          <w:p>
            <w:pPr>
              <w:spacing w:after="0"/>
              <w:rPr>
                <w:sz w:val="18"/>
                <w:szCs w:val="18"/>
                <w:color w:val="auto"/>
              </w:rPr>
            </w:pPr>
          </w:p>
        </w:tc>
        <w:tc>
          <w:tcPr>
            <w:tcW w:w="260" w:type="dxa"/>
            <w:vAlign w:val="bottom"/>
            <w:tcBorders>
              <w:top w:val="single" w:sz="8" w:color="auto"/>
            </w:tcBorders>
            <w:shd w:val="clear" w:color="auto" w:fill="D5E6F7"/>
          </w:tcPr>
          <w:p>
            <w:pPr>
              <w:spacing w:after="0"/>
              <w:rPr>
                <w:sz w:val="18"/>
                <w:szCs w:val="18"/>
                <w:color w:val="auto"/>
              </w:rPr>
            </w:pPr>
          </w:p>
        </w:tc>
        <w:tc>
          <w:tcPr>
            <w:tcW w:w="1400" w:type="dxa"/>
            <w:vAlign w:val="bottom"/>
            <w:tcBorders>
              <w:top w:val="single" w:sz="8" w:color="auto"/>
            </w:tcBorders>
            <w:shd w:val="clear" w:color="auto" w:fill="D5E6F7"/>
          </w:tcPr>
          <w:p>
            <w:pPr>
              <w:spacing w:after="0"/>
              <w:rPr>
                <w:sz w:val="18"/>
                <w:szCs w:val="18"/>
                <w:color w:val="auto"/>
              </w:rPr>
            </w:pPr>
          </w:p>
        </w:tc>
        <w:tc>
          <w:tcPr>
            <w:tcW w:w="260" w:type="dxa"/>
            <w:vAlign w:val="bottom"/>
            <w:tcBorders>
              <w:top w:val="single" w:sz="8" w:color="D5E6F7"/>
            </w:tcBorders>
            <w:shd w:val="clear" w:color="auto" w:fill="D5E6F7"/>
          </w:tcPr>
          <w:p>
            <w:pPr>
              <w:spacing w:after="0"/>
              <w:rPr>
                <w:sz w:val="18"/>
                <w:szCs w:val="18"/>
                <w:color w:val="auto"/>
              </w:rPr>
            </w:pPr>
          </w:p>
        </w:tc>
        <w:tc>
          <w:tcPr>
            <w:tcW w:w="260" w:type="dxa"/>
            <w:vAlign w:val="bottom"/>
            <w:tcBorders>
              <w:top w:val="single" w:sz="8" w:color="auto"/>
            </w:tcBorders>
            <w:shd w:val="clear" w:color="auto" w:fill="D5E6F7"/>
          </w:tcPr>
          <w:p>
            <w:pPr>
              <w:spacing w:after="0"/>
              <w:rPr>
                <w:sz w:val="18"/>
                <w:szCs w:val="18"/>
                <w:color w:val="auto"/>
              </w:rPr>
            </w:pPr>
          </w:p>
        </w:tc>
        <w:tc>
          <w:tcPr>
            <w:tcW w:w="1400" w:type="dxa"/>
            <w:vAlign w:val="bottom"/>
            <w:tcBorders>
              <w:top w:val="single" w:sz="8" w:color="auto"/>
            </w:tcBorders>
            <w:shd w:val="clear" w:color="auto" w:fill="D5E6F7"/>
          </w:tcPr>
          <w:p>
            <w:pPr>
              <w:spacing w:after="0"/>
              <w:rPr>
                <w:sz w:val="18"/>
                <w:szCs w:val="18"/>
                <w:color w:val="auto"/>
              </w:rPr>
            </w:pPr>
          </w:p>
        </w:tc>
        <w:tc>
          <w:tcPr>
            <w:tcW w:w="100" w:type="dxa"/>
            <w:vAlign w:val="bottom"/>
            <w:tcBorders>
              <w:top w:val="single" w:sz="8" w:color="D5E6F7"/>
            </w:tcBorders>
            <w:shd w:val="clear" w:color="auto" w:fill="D5E6F7"/>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Deferred sales commissions, non-current</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13,228</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18"/>
                <w:szCs w:val="18"/>
                <w:color w:val="auto"/>
              </w:rPr>
            </w:pPr>
          </w:p>
        </w:tc>
      </w:tr>
      <w:tr>
        <w:trPr>
          <w:trHeight w:val="216"/>
        </w:trPr>
        <w:tc>
          <w:tcPr>
            <w:tcW w:w="5640" w:type="dxa"/>
            <w:vAlign w:val="bottom"/>
            <w:shd w:val="clear" w:color="auto" w:fill="D5E6F7"/>
          </w:tcPr>
          <w:p>
            <w:pPr>
              <w:spacing w:after="0"/>
              <w:rPr>
                <w:sz w:val="20"/>
                <w:szCs w:val="20"/>
                <w:color w:val="auto"/>
              </w:rPr>
            </w:pPr>
            <w:r>
              <w:rPr>
                <w:rFonts w:ascii="Arial" w:cs="Arial" w:eastAsia="Arial" w:hAnsi="Arial"/>
                <w:sz w:val="18"/>
                <w:szCs w:val="18"/>
                <w:color w:val="auto"/>
              </w:rPr>
              <w:t>Other non-current assets</w:t>
            </w:r>
          </w:p>
        </w:tc>
        <w:tc>
          <w:tcPr>
            <w:tcW w:w="1920" w:type="dxa"/>
            <w:vAlign w:val="bottom"/>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spacing w:after="0"/>
              <w:rPr>
                <w:sz w:val="18"/>
                <w:szCs w:val="18"/>
                <w:color w:val="auto"/>
              </w:rPr>
            </w:pP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spacing w:after="0"/>
              <w:rPr>
                <w:sz w:val="18"/>
                <w:szCs w:val="18"/>
                <w:color w:val="auto"/>
              </w:rPr>
            </w:pP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D5E6F7"/>
          </w:tcPr>
          <w:p>
            <w:pPr>
              <w:spacing w:after="0"/>
              <w:rPr>
                <w:sz w:val="18"/>
                <w:szCs w:val="18"/>
                <w:color w:val="auto"/>
              </w:rPr>
            </w:pP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color w:val="auto"/>
              </w:rPr>
              <w:t>Total other non-current assets</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13,875</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003A5D"/>
        </w:rPr>
        <w:t xml:space="preserve">Customer Acquisition Costs. </w:t>
      </w:r>
      <w:r>
        <w:rPr>
          <w:rFonts w:ascii="Arial" w:cs="Arial" w:eastAsia="Arial" w:hAnsi="Arial"/>
          <w:sz w:val="18"/>
          <w:szCs w:val="18"/>
          <w:color w:val="000000"/>
        </w:rPr>
        <w:t>Amortization expense for total deferred sales commissions was $6.0 million, $3.9 million and $2.2 million for</w:t>
      </w:r>
      <w:r>
        <w:rPr>
          <w:rFonts w:ascii="Arial" w:cs="Arial" w:eastAsia="Arial" w:hAnsi="Arial"/>
          <w:sz w:val="18"/>
          <w:szCs w:val="18"/>
          <w:b w:val="1"/>
          <w:bCs w:val="1"/>
          <w:color w:val="003A5D"/>
        </w:rPr>
        <w:t xml:space="preserve"> </w:t>
      </w:r>
      <w:r>
        <w:rPr>
          <w:rFonts w:ascii="Arial" w:cs="Arial" w:eastAsia="Arial" w:hAnsi="Arial"/>
          <w:sz w:val="18"/>
          <w:szCs w:val="18"/>
          <w:color w:val="000000"/>
        </w:rPr>
        <w:t>fiscal 2022, 2021 and 2020,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4" w:name="page75"/>
    <w:bookmarkEnd w:id="74"/>
    <w:p>
      <w:pPr>
        <w:jc w:val="both"/>
        <w:spacing w:after="0" w:line="239" w:lineRule="auto"/>
        <w:rPr>
          <w:sz w:val="20"/>
          <w:szCs w:val="20"/>
          <w:color w:val="auto"/>
        </w:rPr>
      </w:pPr>
      <w:r>
        <w:rPr>
          <w:rFonts w:ascii="Arial" w:cs="Arial" w:eastAsia="Arial" w:hAnsi="Arial"/>
          <w:sz w:val="18"/>
          <w:szCs w:val="18"/>
          <w:b w:val="1"/>
          <w:bCs w:val="1"/>
          <w:color w:val="003A5D"/>
        </w:rPr>
        <w:t xml:space="preserve">Global Telecom Corporation (“GTC”). </w:t>
      </w:r>
      <w:r>
        <w:rPr>
          <w:rFonts w:ascii="Arial" w:cs="Arial" w:eastAsia="Arial" w:hAnsi="Arial"/>
          <w:sz w:val="18"/>
          <w:szCs w:val="18"/>
          <w:color w:val="000000"/>
        </w:rPr>
        <w:t>In December 2018, the Company invested $1.3 million in cash in GTC, a privately-held technology</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company, in exchange for a convertible promissory note that will convert to shares of GTC stock upon the occurrence of certain future events. As amended, the promissory note and accrued interest is due and payable upon the Company’s demand at any time after June 30, 2022. The Company has also partnered with GTC on certain inventory procurement and research and development activities. GTC is a variable interest entity for accounting purposes and the Company does not consolidate GTC into its financial statements because the Company is not the primary beneficiary. The Company’s maximum exposure to loss is equal to the carrying value of the convertible note receivable, including accrued interest. During fiscal 2022, the Company made total payments to GTC of approximately $2.7 million for inventory purchases and related shipping costs. As of January 31, 2022 and 2021, the Company’s non-cancelable inventory purchase commitments to GTC were immaterial.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Accrued expenses and other current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7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January 31,</w:t>
            </w:r>
          </w:p>
        </w:tc>
      </w:tr>
      <w:tr>
        <w:trPr>
          <w:trHeight w:val="171"/>
        </w:trPr>
        <w:tc>
          <w:tcPr>
            <w:tcW w:w="7560" w:type="dxa"/>
            <w:vAlign w:val="bottom"/>
            <w:tcBorders>
              <w:bottom w:val="single" w:sz="8" w:color="D5E6F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5E6F7"/>
            </w:tcBorders>
          </w:tcPr>
          <w:p>
            <w:pPr>
              <w:spacing w:after="0"/>
              <w:rPr>
                <w:sz w:val="14"/>
                <w:szCs w:val="14"/>
                <w:color w:val="auto"/>
              </w:rPr>
            </w:pPr>
          </w:p>
        </w:tc>
        <w:tc>
          <w:tcPr>
            <w:tcW w:w="20" w:type="dxa"/>
            <w:vAlign w:val="bottom"/>
            <w:tcBorders>
              <w:bottom w:val="single" w:sz="8" w:color="D5E6F7"/>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5E6F7"/>
            </w:tcBorders>
          </w:tcPr>
          <w:p>
            <w:pPr>
              <w:spacing w:after="0"/>
              <w:rPr>
                <w:sz w:val="14"/>
                <w:szCs w:val="14"/>
                <w:color w:val="auto"/>
              </w:rPr>
            </w:pPr>
          </w:p>
        </w:tc>
      </w:tr>
      <w:tr>
        <w:trPr>
          <w:trHeight w:val="209"/>
        </w:trPr>
        <w:tc>
          <w:tcPr>
            <w:tcW w:w="7560" w:type="dxa"/>
            <w:vAlign w:val="bottom"/>
            <w:shd w:val="clear" w:color="auto" w:fill="D5E6F7"/>
          </w:tcPr>
          <w:p>
            <w:pPr>
              <w:spacing w:after="0"/>
              <w:rPr>
                <w:sz w:val="20"/>
                <w:szCs w:val="20"/>
                <w:color w:val="auto"/>
              </w:rPr>
            </w:pPr>
            <w:r>
              <w:rPr>
                <w:rFonts w:ascii="Arial" w:cs="Arial" w:eastAsia="Arial" w:hAnsi="Arial"/>
                <w:sz w:val="18"/>
                <w:szCs w:val="18"/>
                <w:color w:val="auto"/>
              </w:rPr>
              <w:t>Payroll and related expenses</w:t>
            </w: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10,853</w:t>
            </w:r>
          </w:p>
        </w:tc>
        <w:tc>
          <w:tcPr>
            <w:tcW w:w="26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240" w:type="dxa"/>
            <w:vAlign w:val="bottom"/>
            <w:shd w:val="clear" w:color="auto" w:fill="D5E6F7"/>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11,062</w:t>
            </w:r>
          </w:p>
        </w:tc>
        <w:tc>
          <w:tcPr>
            <w:tcW w:w="100" w:type="dxa"/>
            <w:vAlign w:val="bottom"/>
            <w:shd w:val="clear" w:color="auto" w:fill="D5E6F7"/>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Regulatory fees and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18"/>
                <w:szCs w:val="18"/>
                <w:color w:val="auto"/>
              </w:rPr>
            </w:pPr>
          </w:p>
        </w:tc>
      </w:tr>
      <w:tr>
        <w:trPr>
          <w:trHeight w:val="216"/>
        </w:trPr>
        <w:tc>
          <w:tcPr>
            <w:tcW w:w="7560" w:type="dxa"/>
            <w:vAlign w:val="bottom"/>
            <w:shd w:val="clear" w:color="auto" w:fill="D5E6F7"/>
          </w:tcPr>
          <w:p>
            <w:pPr>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shd w:val="clear" w:color="auto" w:fill="D5E6F7"/>
          </w:tcPr>
          <w:p>
            <w:pPr>
              <w:spacing w:after="0"/>
              <w:rPr>
                <w:sz w:val="18"/>
                <w:szCs w:val="18"/>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3,260</w:t>
            </w:r>
          </w:p>
        </w:tc>
        <w:tc>
          <w:tcPr>
            <w:tcW w:w="26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4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D5E6F7"/>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Customer-related liabilities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r>
      <w:tr>
        <w:trPr>
          <w:trHeight w:val="216"/>
        </w:trPr>
        <w:tc>
          <w:tcPr>
            <w:tcW w:w="7560" w:type="dxa"/>
            <w:vAlign w:val="bottom"/>
            <w:shd w:val="clear" w:color="auto" w:fill="D5E6F7"/>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5E6F7"/>
          </w:tcPr>
          <w:p>
            <w:pPr>
              <w:spacing w:after="0"/>
              <w:rPr>
                <w:sz w:val="18"/>
                <w:szCs w:val="18"/>
                <w:color w:val="auto"/>
              </w:rPr>
            </w:pP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3,190</w:t>
            </w:r>
          </w:p>
        </w:tc>
        <w:tc>
          <w:tcPr>
            <w:tcW w:w="260" w:type="dxa"/>
            <w:vAlign w:val="bottom"/>
            <w:shd w:val="clear" w:color="auto" w:fill="D5E6F7"/>
          </w:tcPr>
          <w:p>
            <w:pPr>
              <w:spacing w:after="0"/>
              <w:rPr>
                <w:sz w:val="18"/>
                <w:szCs w:val="18"/>
                <w:color w:val="auto"/>
              </w:rPr>
            </w:pPr>
          </w:p>
        </w:tc>
        <w:tc>
          <w:tcPr>
            <w:tcW w:w="20" w:type="dxa"/>
            <w:vAlign w:val="bottom"/>
            <w:shd w:val="clear" w:color="auto" w:fill="D5E6F7"/>
          </w:tcPr>
          <w:p>
            <w:pPr>
              <w:spacing w:after="0"/>
              <w:rPr>
                <w:sz w:val="18"/>
                <w:szCs w:val="18"/>
                <w:color w:val="auto"/>
              </w:rPr>
            </w:pPr>
          </w:p>
        </w:tc>
        <w:tc>
          <w:tcPr>
            <w:tcW w:w="240" w:type="dxa"/>
            <w:vAlign w:val="bottom"/>
            <w:tcBorders>
              <w:bottom w:val="single" w:sz="8" w:color="auto"/>
            </w:tcBorders>
            <w:shd w:val="clear" w:color="auto" w:fill="D5E6F7"/>
          </w:tcPr>
          <w:p>
            <w:pPr>
              <w:spacing w:after="0"/>
              <w:rPr>
                <w:sz w:val="18"/>
                <w:szCs w:val="18"/>
                <w:color w:val="auto"/>
              </w:rPr>
            </w:pPr>
          </w:p>
        </w:tc>
        <w:tc>
          <w:tcPr>
            <w:tcW w:w="1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D5E6F7"/>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Note 6: Acquired Intangible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gross value, accumulated amortization and carrying values of intangible assets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Estimated</w:t>
            </w: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As of January 31, 2022</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As of January 31, 2021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04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tcBorders>
              <w:top w:val="single" w:sz="8" w:color="auto"/>
            </w:tcBorders>
            <w:shd w:val="clear" w:color="auto" w:fill="D5E6F7"/>
          </w:tcPr>
          <w:p>
            <w:pPr>
              <w:jc w:val="center"/>
              <w:spacing w:after="0"/>
              <w:rPr>
                <w:sz w:val="20"/>
                <w:szCs w:val="20"/>
                <w:color w:val="auto"/>
              </w:rPr>
            </w:pPr>
            <w:r>
              <w:rPr>
                <w:rFonts w:ascii="Arial" w:cs="Arial" w:eastAsia="Arial" w:hAnsi="Arial"/>
                <w:sz w:val="18"/>
                <w:szCs w:val="18"/>
                <w:color w:val="auto"/>
                <w:w w:val="99"/>
              </w:rPr>
              <w:t>5-7</w:t>
            </w:r>
          </w:p>
        </w:tc>
        <w:tc>
          <w:tcPr>
            <w:tcW w:w="200" w:type="dxa"/>
            <w:vAlign w:val="bottom"/>
            <w:tcBorders>
              <w:top w:val="single" w:sz="8" w:color="D5E6F7"/>
            </w:tcBorders>
            <w:shd w:val="clear" w:color="auto" w:fill="D5E6F7"/>
          </w:tcPr>
          <w:p>
            <w:pPr>
              <w:spacing w:after="0"/>
              <w:rPr>
                <w:sz w:val="18"/>
                <w:szCs w:val="18"/>
                <w:color w:val="auto"/>
              </w:rPr>
            </w:pPr>
          </w:p>
        </w:tc>
        <w:tc>
          <w:tcPr>
            <w:tcW w:w="1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6,735</w:t>
            </w:r>
          </w:p>
        </w:tc>
        <w:tc>
          <w:tcPr>
            <w:tcW w:w="300" w:type="dxa"/>
            <w:vAlign w:val="bottom"/>
            <w:tcBorders>
              <w:top w:val="single" w:sz="8" w:color="D5E6F7"/>
            </w:tcBorders>
            <w:shd w:val="clear" w:color="auto" w:fill="D5E6F7"/>
          </w:tcPr>
          <w:p>
            <w:pPr>
              <w:spacing w:after="0"/>
              <w:rPr>
                <w:sz w:val="18"/>
                <w:szCs w:val="18"/>
                <w:color w:val="auto"/>
              </w:rPr>
            </w:pPr>
          </w:p>
        </w:tc>
        <w:tc>
          <w:tcPr>
            <w:tcW w:w="260" w:type="dxa"/>
            <w:vAlign w:val="bottom"/>
            <w:tcBorders>
              <w:top w:val="single" w:sz="8" w:color="auto"/>
            </w:tcBorders>
            <w:shd w:val="clear" w:color="auto" w:fill="D5E6F7"/>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(2,921)</w:t>
            </w:r>
          </w:p>
        </w:tc>
        <w:tc>
          <w:tcPr>
            <w:tcW w:w="240" w:type="dxa"/>
            <w:vAlign w:val="bottom"/>
            <w:tcBorders>
              <w:top w:val="single" w:sz="8" w:color="D5E6F7"/>
            </w:tcBorders>
            <w:shd w:val="clear" w:color="auto" w:fill="D5E6F7"/>
          </w:tcPr>
          <w:p>
            <w:pPr>
              <w:spacing w:after="0"/>
              <w:rPr>
                <w:sz w:val="18"/>
                <w:szCs w:val="18"/>
                <w:color w:val="auto"/>
              </w:rPr>
            </w:pPr>
          </w:p>
        </w:tc>
        <w:tc>
          <w:tcPr>
            <w:tcW w:w="1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3,814</w:t>
            </w:r>
          </w:p>
        </w:tc>
        <w:tc>
          <w:tcPr>
            <w:tcW w:w="240" w:type="dxa"/>
            <w:vAlign w:val="bottom"/>
            <w:tcBorders>
              <w:top w:val="single" w:sz="8" w:color="D5E6F7"/>
            </w:tcBorders>
            <w:shd w:val="clear" w:color="auto" w:fill="D5E6F7"/>
          </w:tcPr>
          <w:p>
            <w:pPr>
              <w:spacing w:after="0"/>
              <w:rPr>
                <w:sz w:val="18"/>
                <w:szCs w:val="18"/>
                <w:color w:val="auto"/>
              </w:rPr>
            </w:pPr>
          </w:p>
        </w:tc>
        <w:tc>
          <w:tcPr>
            <w:tcW w:w="1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6,735</w:t>
            </w:r>
          </w:p>
        </w:tc>
        <w:tc>
          <w:tcPr>
            <w:tcW w:w="240" w:type="dxa"/>
            <w:vAlign w:val="bottom"/>
            <w:tcBorders>
              <w:top w:val="single" w:sz="8" w:color="D5E6F7"/>
            </w:tcBorders>
            <w:shd w:val="clear" w:color="auto" w:fill="D5E6F7"/>
          </w:tcPr>
          <w:p>
            <w:pPr>
              <w:spacing w:after="0"/>
              <w:rPr>
                <w:sz w:val="18"/>
                <w:szCs w:val="18"/>
                <w:color w:val="auto"/>
              </w:rPr>
            </w:pPr>
          </w:p>
        </w:tc>
        <w:tc>
          <w:tcPr>
            <w:tcW w:w="260" w:type="dxa"/>
            <w:vAlign w:val="bottom"/>
            <w:tcBorders>
              <w:top w:val="single" w:sz="8" w:color="auto"/>
            </w:tcBorders>
            <w:shd w:val="clear" w:color="auto" w:fill="D5E6F7"/>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(1,908)</w:t>
            </w:r>
          </w:p>
        </w:tc>
        <w:tc>
          <w:tcPr>
            <w:tcW w:w="300" w:type="dxa"/>
            <w:vAlign w:val="bottom"/>
            <w:tcBorders>
              <w:top w:val="single" w:sz="8" w:color="D5E6F7"/>
            </w:tcBorders>
            <w:shd w:val="clear" w:color="auto" w:fill="D5E6F7"/>
          </w:tcPr>
          <w:p>
            <w:pPr>
              <w:spacing w:after="0"/>
              <w:rPr>
                <w:sz w:val="18"/>
                <w:szCs w:val="18"/>
                <w:color w:val="auto"/>
              </w:rPr>
            </w:pPr>
          </w:p>
        </w:tc>
        <w:tc>
          <w:tcPr>
            <w:tcW w:w="1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Borders>
              <w:top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Developed technology</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1"/>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D5E6F7"/>
          </w:tcPr>
          <w:p>
            <w:pPr>
              <w:spacing w:after="0"/>
              <w:rPr>
                <w:sz w:val="20"/>
                <w:szCs w:val="20"/>
                <w:color w:val="auto"/>
              </w:rPr>
            </w:pPr>
            <w:r>
              <w:rPr>
                <w:rFonts w:ascii="Arial" w:cs="Arial" w:eastAsia="Arial" w:hAnsi="Arial"/>
                <w:sz w:val="18"/>
                <w:szCs w:val="18"/>
                <w:color w:val="auto"/>
              </w:rPr>
              <w:t>Trade names</w:t>
            </w:r>
          </w:p>
        </w:tc>
        <w:tc>
          <w:tcPr>
            <w:tcW w:w="900" w:type="dxa"/>
            <w:vAlign w:val="bottom"/>
            <w:shd w:val="clear" w:color="auto" w:fill="D5E6F7"/>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7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920" w:type="dxa"/>
            <w:vAlign w:val="bottom"/>
            <w:gridSpan w:val="2"/>
            <w:shd w:val="clear" w:color="auto" w:fill="D5E6F7"/>
          </w:tcPr>
          <w:p>
            <w:pPr>
              <w:jc w:val="right"/>
              <w:ind w:right="101"/>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7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980" w:type="dxa"/>
            <w:vAlign w:val="bottom"/>
            <w:gridSpan w:val="2"/>
            <w:shd w:val="clear" w:color="auto" w:fill="D5E6F7"/>
          </w:tcPr>
          <w:p>
            <w:pPr>
              <w:jc w:val="right"/>
              <w:ind w:right="130"/>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9,108</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9,108</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$1.3 million, $1.3 million and $1.2 million in fiscal 2022, 2021 and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2022, the estimated future amortization expense for intangible assets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Years Ending January 31,</w:t>
            </w:r>
          </w:p>
        </w:tc>
        <w:tc>
          <w:tcPr>
            <w:tcW w:w="6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6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r>
      <w:tr>
        <w:trPr>
          <w:trHeight w:val="20"/>
        </w:trPr>
        <w:tc>
          <w:tcPr>
            <w:tcW w:w="2200" w:type="dxa"/>
            <w:vAlign w:val="bottom"/>
            <w:tcBorders>
              <w:bottom w:val="single" w:sz="8" w:color="D5E6F7"/>
            </w:tcBorders>
          </w:tcPr>
          <w:p>
            <w:pPr>
              <w:spacing w:after="0" w:line="20" w:lineRule="exact"/>
              <w:rPr>
                <w:sz w:val="1"/>
                <w:szCs w:val="1"/>
                <w:color w:val="auto"/>
              </w:rPr>
            </w:pPr>
          </w:p>
        </w:tc>
        <w:tc>
          <w:tcPr>
            <w:tcW w:w="6500" w:type="dxa"/>
            <w:vAlign w:val="bottom"/>
            <w:tcBorders>
              <w:bottom w:val="single" w:sz="8" w:color="D5E6F7"/>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E6F7"/>
            </w:tcBorders>
          </w:tcPr>
          <w:p>
            <w:pPr>
              <w:spacing w:after="0" w:line="20" w:lineRule="exact"/>
              <w:rPr>
                <w:sz w:val="1"/>
                <w:szCs w:val="1"/>
                <w:color w:val="auto"/>
              </w:rPr>
            </w:pPr>
          </w:p>
        </w:tc>
      </w:tr>
      <w:tr>
        <w:trPr>
          <w:trHeight w:val="210"/>
        </w:trPr>
        <w:tc>
          <w:tcPr>
            <w:tcW w:w="2200" w:type="dxa"/>
            <w:vAlign w:val="bottom"/>
            <w:shd w:val="clear" w:color="auto" w:fill="D5E6F7"/>
          </w:tcPr>
          <w:p>
            <w:pPr>
              <w:spacing w:after="0"/>
              <w:rPr>
                <w:sz w:val="20"/>
                <w:szCs w:val="20"/>
                <w:color w:val="auto"/>
              </w:rPr>
            </w:pPr>
            <w:r>
              <w:rPr>
                <w:rFonts w:ascii="Arial" w:cs="Arial" w:eastAsia="Arial" w:hAnsi="Arial"/>
                <w:sz w:val="18"/>
                <w:szCs w:val="18"/>
                <w:color w:val="auto"/>
              </w:rPr>
              <w:t>2023</w:t>
            </w:r>
          </w:p>
        </w:tc>
        <w:tc>
          <w:tcPr>
            <w:tcW w:w="6500" w:type="dxa"/>
            <w:vAlign w:val="bottom"/>
            <w:shd w:val="clear" w:color="auto" w:fill="D5E6F7"/>
          </w:tcPr>
          <w:p>
            <w:pPr>
              <w:spacing w:after="0"/>
              <w:rPr>
                <w:sz w:val="18"/>
                <w:szCs w:val="18"/>
                <w:color w:val="auto"/>
              </w:rPr>
            </w:pPr>
          </w:p>
        </w:tc>
        <w:tc>
          <w:tcPr>
            <w:tcW w:w="580" w:type="dxa"/>
            <w:vAlign w:val="bottom"/>
            <w:shd w:val="clear" w:color="auto" w:fill="D5E6F7"/>
          </w:tcPr>
          <w:p>
            <w:pPr>
              <w:jc w:val="right"/>
              <w:ind w:right="3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D5E6F7"/>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2024</w:t>
            </w: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r>
      <w:tr>
        <w:trPr>
          <w:trHeight w:val="216"/>
        </w:trPr>
        <w:tc>
          <w:tcPr>
            <w:tcW w:w="2200" w:type="dxa"/>
            <w:vAlign w:val="bottom"/>
            <w:shd w:val="clear" w:color="auto" w:fill="D5E6F7"/>
          </w:tcPr>
          <w:p>
            <w:pPr>
              <w:spacing w:after="0"/>
              <w:rPr>
                <w:sz w:val="20"/>
                <w:szCs w:val="20"/>
                <w:color w:val="auto"/>
              </w:rPr>
            </w:pPr>
            <w:r>
              <w:rPr>
                <w:rFonts w:ascii="Arial" w:cs="Arial" w:eastAsia="Arial" w:hAnsi="Arial"/>
                <w:sz w:val="18"/>
                <w:szCs w:val="18"/>
                <w:color w:val="auto"/>
              </w:rPr>
              <w:t>2025</w:t>
            </w:r>
          </w:p>
        </w:tc>
        <w:tc>
          <w:tcPr>
            <w:tcW w:w="6500" w:type="dxa"/>
            <w:vAlign w:val="bottom"/>
            <w:shd w:val="clear" w:color="auto" w:fill="D5E6F7"/>
          </w:tcPr>
          <w:p>
            <w:pPr>
              <w:spacing w:after="0"/>
              <w:rPr>
                <w:sz w:val="18"/>
                <w:szCs w:val="18"/>
                <w:color w:val="auto"/>
              </w:rPr>
            </w:pPr>
          </w:p>
        </w:tc>
        <w:tc>
          <w:tcPr>
            <w:tcW w:w="580" w:type="dxa"/>
            <w:vAlign w:val="bottom"/>
            <w:shd w:val="clear" w:color="auto" w:fill="D5E6F7"/>
          </w:tcPr>
          <w:p>
            <w:pPr>
              <w:spacing w:after="0"/>
              <w:rPr>
                <w:sz w:val="18"/>
                <w:szCs w:val="18"/>
                <w:color w:val="auto"/>
              </w:rPr>
            </w:pPr>
          </w:p>
        </w:tc>
        <w:tc>
          <w:tcPr>
            <w:tcW w:w="18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D5E6F7"/>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2026</w:t>
            </w: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2200" w:type="dxa"/>
            <w:vAlign w:val="bottom"/>
            <w:shd w:val="clear" w:color="auto" w:fill="D5E6F7"/>
          </w:tcPr>
          <w:p>
            <w:pPr>
              <w:spacing w:after="0"/>
              <w:rPr>
                <w:sz w:val="20"/>
                <w:szCs w:val="20"/>
                <w:color w:val="auto"/>
              </w:rPr>
            </w:pPr>
            <w:r>
              <w:rPr>
                <w:rFonts w:ascii="Arial" w:cs="Arial" w:eastAsia="Arial" w:hAnsi="Arial"/>
                <w:sz w:val="18"/>
                <w:szCs w:val="18"/>
                <w:color w:val="auto"/>
              </w:rPr>
              <w:t>2027</w:t>
            </w:r>
          </w:p>
        </w:tc>
        <w:tc>
          <w:tcPr>
            <w:tcW w:w="6500" w:type="dxa"/>
            <w:vAlign w:val="bottom"/>
            <w:shd w:val="clear" w:color="auto" w:fill="D5E6F7"/>
          </w:tcPr>
          <w:p>
            <w:pPr>
              <w:spacing w:after="0"/>
              <w:rPr>
                <w:sz w:val="18"/>
                <w:szCs w:val="18"/>
                <w:color w:val="auto"/>
              </w:rPr>
            </w:pPr>
          </w:p>
        </w:tc>
        <w:tc>
          <w:tcPr>
            <w:tcW w:w="580" w:type="dxa"/>
            <w:vAlign w:val="bottom"/>
            <w:tcBorders>
              <w:bottom w:val="single" w:sz="8" w:color="auto"/>
            </w:tcBorders>
            <w:shd w:val="clear" w:color="auto" w:fill="D5E6F7"/>
          </w:tcPr>
          <w:p>
            <w:pPr>
              <w:spacing w:after="0"/>
              <w:rPr>
                <w:sz w:val="18"/>
                <w:szCs w:val="18"/>
                <w:color w:val="auto"/>
              </w:rPr>
            </w:pPr>
          </w:p>
        </w:tc>
        <w:tc>
          <w:tcPr>
            <w:tcW w:w="18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D5E6F7"/>
          </w:tcPr>
          <w:p>
            <w:pPr>
              <w:spacing w:after="0"/>
              <w:rPr>
                <w:sz w:val="18"/>
                <w:szCs w:val="18"/>
                <w:color w:val="auto"/>
              </w:rPr>
            </w:pPr>
          </w:p>
        </w:tc>
      </w:tr>
      <w:tr>
        <w:trPr>
          <w:trHeight w:val="21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18"/>
                <w:szCs w:val="18"/>
                <w:color w:val="auto"/>
              </w:rPr>
            </w:pPr>
          </w:p>
        </w:tc>
      </w:tr>
      <w:tr>
        <w:trPr>
          <w:trHeight w:val="20"/>
        </w:trPr>
        <w:tc>
          <w:tcPr>
            <w:tcW w:w="22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5" w:name="page76"/>
    <w:bookmarkEnd w:id="75"/>
    <w:p>
      <w:pPr>
        <w:spacing w:after="0"/>
        <w:rPr>
          <w:sz w:val="20"/>
          <w:szCs w:val="20"/>
          <w:color w:val="auto"/>
        </w:rPr>
      </w:pPr>
      <w:r>
        <w:rPr>
          <w:rFonts w:ascii="Arial" w:cs="Arial" w:eastAsia="Arial" w:hAnsi="Arial"/>
          <w:sz w:val="25"/>
          <w:szCs w:val="25"/>
          <w:b w:val="1"/>
          <w:bCs w:val="1"/>
          <w:color w:val="003A5D"/>
        </w:rPr>
        <w:t>Note 7: Operating Leases</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leases its headquarters located in Sunnyvale, California, as well as office and data center space in several locations under non-cancelable operating lease agreements, with expiration dates through fiscal 2030. The lease agreements often include escalating rent payments, renewal provisions and other provisions which require the Company to pay common area maintenance costs, property taxes and insurance. The lease agreements do not contain any material residual value guarantees or material restrictive covenants.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 and long-term operating lease liabilities are included on the face of the consolidated balance sheet.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Short-term operating lease liabilities are presented within accrued expenses and other 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36"/>
              <w:spacing w:after="0" w:line="160" w:lineRule="exact"/>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D5E6F7"/>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D5E6F7"/>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D5E6F7"/>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D5E6F7"/>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5E6F7"/>
          </w:tcPr>
          <w:p>
            <w:pPr>
              <w:spacing w:after="0"/>
              <w:rPr>
                <w:sz w:val="18"/>
                <w:szCs w:val="18"/>
                <w:color w:val="auto"/>
              </w:rPr>
            </w:pPr>
          </w:p>
        </w:tc>
        <w:tc>
          <w:tcPr>
            <w:tcW w:w="10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6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D5E6F7"/>
              <w:bottom w:val="single" w:sz="8" w:color="D5E6F7"/>
            </w:tcBorders>
            <w:shd w:val="clear" w:color="auto" w:fill="D5E6F7"/>
          </w:tcPr>
          <w:p>
            <w:pPr>
              <w:ind w:left="160"/>
              <w:spacing w:after="0"/>
              <w:rPr>
                <w:sz w:val="20"/>
                <w:szCs w:val="20"/>
                <w:color w:val="auto"/>
              </w:rPr>
            </w:pPr>
            <w:r>
              <w:rPr>
                <w:rFonts w:ascii="Arial" w:cs="Arial" w:eastAsia="Arial" w:hAnsi="Arial"/>
                <w:sz w:val="18"/>
                <w:szCs w:val="18"/>
                <w:color w:val="auto"/>
              </w:rPr>
              <w:t>Total leased assets</w:t>
            </w:r>
          </w:p>
        </w:tc>
        <w:tc>
          <w:tcPr>
            <w:tcW w:w="1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14,396</w:t>
            </w:r>
          </w:p>
        </w:tc>
        <w:tc>
          <w:tcPr>
            <w:tcW w:w="300" w:type="dxa"/>
            <w:vAlign w:val="bottom"/>
            <w:tcBorders>
              <w:top w:val="single" w:sz="8" w:color="D5E6F7"/>
              <w:bottom w:val="single" w:sz="8" w:color="D5E6F7"/>
            </w:tcBorders>
            <w:shd w:val="clear" w:color="auto" w:fill="D5E6F7"/>
          </w:tcPr>
          <w:p>
            <w:pPr>
              <w:spacing w:after="0"/>
              <w:rPr>
                <w:sz w:val="18"/>
                <w:szCs w:val="18"/>
                <w:color w:val="auto"/>
              </w:rPr>
            </w:pPr>
          </w:p>
        </w:tc>
        <w:tc>
          <w:tcPr>
            <w:tcW w:w="1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6,045</w:t>
            </w:r>
          </w:p>
        </w:tc>
        <w:tc>
          <w:tcPr>
            <w:tcW w:w="180" w:type="dxa"/>
            <w:vAlign w:val="bottom"/>
            <w:tcBorders>
              <w:top w:val="single" w:sz="8" w:color="D5E6F7"/>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D5E6F7"/>
          </w:tcPr>
          <w:p>
            <w:pPr>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3,260</w:t>
            </w:r>
          </w:p>
        </w:tc>
        <w:tc>
          <w:tcPr>
            <w:tcW w:w="460" w:type="dxa"/>
            <w:vAlign w:val="bottom"/>
            <w:gridSpan w:val="2"/>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3,831</w:t>
            </w:r>
          </w:p>
        </w:tc>
        <w:tc>
          <w:tcPr>
            <w:tcW w:w="1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w:t>
            </w:r>
          </w:p>
        </w:tc>
        <w:tc>
          <w:tcPr>
            <w:tcW w:w="300" w:type="dxa"/>
            <w:vAlign w:val="bottom"/>
            <w:tcBorders>
              <w:bottom w:val="single" w:sz="8" w:color="D5E6F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180" w:type="dxa"/>
            <w:vAlign w:val="bottom"/>
            <w:tcBorders>
              <w:bottom w:val="single" w:sz="8" w:color="D5E6F7"/>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D5E6F7"/>
            </w:tcBorders>
            <w:shd w:val="clear" w:color="auto" w:fill="D5E6F7"/>
          </w:tcPr>
          <w:p>
            <w:pPr>
              <w:ind w:left="16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14,454</w:t>
            </w:r>
          </w:p>
        </w:tc>
        <w:tc>
          <w:tcPr>
            <w:tcW w:w="300" w:type="dxa"/>
            <w:vAlign w:val="bottom"/>
            <w:tcBorders>
              <w:bottom w:val="single" w:sz="8" w:color="D5E6F7"/>
            </w:tcBorders>
            <w:shd w:val="clear" w:color="auto" w:fill="D5E6F7"/>
          </w:tcPr>
          <w:p>
            <w:pPr>
              <w:spacing w:after="0"/>
              <w:rPr>
                <w:sz w:val="18"/>
                <w:szCs w:val="18"/>
                <w:color w:val="auto"/>
              </w:rPr>
            </w:pPr>
          </w:p>
        </w:tc>
        <w:tc>
          <w:tcPr>
            <w:tcW w:w="1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6,646</w:t>
            </w:r>
          </w:p>
        </w:tc>
        <w:tc>
          <w:tcPr>
            <w:tcW w:w="18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D5E6F7"/>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D5E6F7"/>
          </w:tcPr>
          <w:p>
            <w:pPr>
              <w:spacing w:after="0"/>
              <w:rPr>
                <w:sz w:val="18"/>
                <w:szCs w:val="18"/>
                <w:color w:val="auto"/>
              </w:rPr>
            </w:pPr>
          </w:p>
        </w:tc>
        <w:tc>
          <w:tcPr>
            <w:tcW w:w="1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5.8 years</w:t>
            </w:r>
          </w:p>
        </w:tc>
        <w:tc>
          <w:tcPr>
            <w:tcW w:w="30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240" w:type="dxa"/>
            <w:vAlign w:val="bottom"/>
            <w:gridSpan w:val="2"/>
            <w:shd w:val="clear" w:color="auto" w:fill="D5E6F7"/>
          </w:tcPr>
          <w:p>
            <w:pPr>
              <w:jc w:val="right"/>
              <w:ind w:right="18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305"/>
        </w:trPr>
        <w:tc>
          <w:tcPr>
            <w:tcW w:w="7020" w:type="dxa"/>
            <w:vAlign w:val="bottom"/>
          </w:tcPr>
          <w:p>
            <w:pPr>
              <w:spacing w:after="0"/>
              <w:rPr>
                <w:sz w:val="20"/>
                <w:szCs w:val="20"/>
                <w:color w:val="auto"/>
              </w:rPr>
            </w:pPr>
            <w:r>
              <w:rPr>
                <w:rFonts w:ascii="Arial" w:cs="Arial" w:eastAsia="Arial" w:hAnsi="Arial"/>
                <w:sz w:val="18"/>
                <w:szCs w:val="18"/>
                <w:color w:val="auto"/>
              </w:rPr>
              <w:t>The components of lease expense were as follows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7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January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02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8"/>
                <w:szCs w:val="18"/>
                <w:color w:val="auto"/>
              </w:rPr>
            </w:pPr>
          </w:p>
        </w:tc>
      </w:tr>
      <w:tr>
        <w:trPr>
          <w:trHeight w:val="210"/>
        </w:trPr>
        <w:tc>
          <w:tcPr>
            <w:tcW w:w="7020" w:type="dxa"/>
            <w:vAlign w:val="bottom"/>
            <w:shd w:val="clear" w:color="auto" w:fill="D5E6F7"/>
          </w:tcPr>
          <w:p>
            <w:pPr>
              <w:spacing w:after="0"/>
              <w:rPr>
                <w:sz w:val="20"/>
                <w:szCs w:val="20"/>
                <w:color w:val="auto"/>
              </w:rPr>
            </w:pPr>
            <w:r>
              <w:rPr>
                <w:rFonts w:ascii="Arial" w:cs="Arial" w:eastAsia="Arial" w:hAnsi="Arial"/>
                <w:sz w:val="18"/>
                <w:szCs w:val="18"/>
                <w:color w:val="auto"/>
              </w:rPr>
              <w:t xml:space="preserve">Operating lease costs </w:t>
            </w:r>
            <w:r>
              <w:rPr>
                <w:rFonts w:ascii="Arial" w:cs="Arial" w:eastAsia="Arial" w:hAnsi="Arial"/>
                <w:sz w:val="15"/>
                <w:szCs w:val="15"/>
                <w:color w:val="auto"/>
              </w:rPr>
              <w:t>(1)</w:t>
            </w: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3,861</w:t>
            </w: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3,947</w:t>
            </w: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D5E6F7"/>
          </w:tcPr>
          <w:p>
            <w:pPr>
              <w:spacing w:after="0"/>
              <w:rPr>
                <w:sz w:val="18"/>
                <w:szCs w:val="18"/>
                <w:color w:val="auto"/>
              </w:rPr>
            </w:pPr>
          </w:p>
        </w:tc>
      </w:tr>
      <w:tr>
        <w:trPr>
          <w:trHeight w:val="216"/>
        </w:trPr>
        <w:tc>
          <w:tcPr>
            <w:tcW w:w="702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 xml:space="preserve">Variable lease costs </w:t>
            </w:r>
            <w:r>
              <w:rPr>
                <w:rFonts w:ascii="Arial" w:cs="Arial" w:eastAsia="Arial" w:hAnsi="Arial"/>
                <w:sz w:val="15"/>
                <w:szCs w:val="15"/>
                <w:color w:val="auto"/>
              </w:rPr>
              <w:t>(2)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24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D5E6F7"/>
            </w:tcBorders>
          </w:tcPr>
          <w:p>
            <w:pPr>
              <w:spacing w:after="0"/>
              <w:rPr>
                <w:sz w:val="18"/>
                <w:szCs w:val="18"/>
                <w:color w:val="auto"/>
              </w:rPr>
            </w:pPr>
          </w:p>
        </w:tc>
      </w:tr>
      <w:tr>
        <w:trPr>
          <w:trHeight w:val="210"/>
        </w:trPr>
        <w:tc>
          <w:tcPr>
            <w:tcW w:w="7020" w:type="dxa"/>
            <w:vAlign w:val="bottom"/>
            <w:tcBorders>
              <w:bottom w:val="single" w:sz="8" w:color="D5E6F7"/>
            </w:tcBorders>
            <w:shd w:val="clear" w:color="auto" w:fill="D5E6F7"/>
          </w:tcPr>
          <w:p>
            <w:pPr>
              <w:ind w:left="16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4,833</w:t>
            </w:r>
          </w:p>
        </w:tc>
        <w:tc>
          <w:tcPr>
            <w:tcW w:w="24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4,895</w:t>
            </w:r>
          </w:p>
        </w:tc>
        <w:tc>
          <w:tcPr>
            <w:tcW w:w="240" w:type="dxa"/>
            <w:vAlign w:val="bottom"/>
            <w:tcBorders>
              <w:bottom w:val="single" w:sz="8" w:color="D5E6F7"/>
            </w:tcBorders>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Recognized on a straight-line basis over the lease term. Includes rent for leases with initial terms of twelve months or less, which were not material.</w:t>
      </w:r>
    </w:p>
    <w:p>
      <w:pPr>
        <w:spacing w:after="0" w:line="11" w:lineRule="exact"/>
        <w:rPr>
          <w:rFonts w:ascii="Arial" w:cs="Arial" w:eastAsia="Arial" w:hAnsi="Arial"/>
          <w:sz w:val="13"/>
          <w:szCs w:val="13"/>
          <w:color w:val="auto"/>
        </w:rPr>
      </w:pPr>
    </w:p>
    <w:p>
      <w:pPr>
        <w:ind w:left="220" w:hanging="212"/>
        <w:spacing w:after="0"/>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Primarily included common area maintenance, utilities and property taxes and insurance, which were expensed as incurred.</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Effective May 2021, the Company extended the sublease term for its corporate headquarters in Sunnyvale, California from an end date of January 31, 2022 to March 15, 2029. The total undiscounted rental payments associated with the sublease extension are approximately $11.1 million from February 2022 onwards. The Company is also required to continue paying common area maintenance costs, property taxes and insurance. This sublease extension is a lease modification that qualifies as a change of accounting for the original sublease and not a separate contract. Accordingly, in the second quarter of fiscal 2022, the Company remeasured its operating lease liability using the present value of the revised rental payments and recognized the difference of $9.5 million between the new lease liability and the old lease liability as an increase to the operating lease right-of-use asset.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January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980" w:type="dxa"/>
            <w:vAlign w:val="bottom"/>
            <w:tcBorders>
              <w:bottom w:val="single" w:sz="8" w:color="D5E6F7"/>
            </w:tcBorders>
          </w:tcPr>
          <w:p>
            <w:pPr>
              <w:spacing w:after="0"/>
              <w:rPr>
                <w:sz w:val="18"/>
                <w:szCs w:val="18"/>
                <w:color w:val="auto"/>
              </w:rPr>
            </w:pPr>
          </w:p>
        </w:tc>
        <w:tc>
          <w:tcPr>
            <w:tcW w:w="104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8"/>
                <w:szCs w:val="18"/>
                <w:color w:val="auto"/>
              </w:rPr>
            </w:pPr>
          </w:p>
        </w:tc>
      </w:tr>
      <w:tr>
        <w:trPr>
          <w:trHeight w:val="209"/>
        </w:trPr>
        <w:tc>
          <w:tcPr>
            <w:tcW w:w="5980" w:type="dxa"/>
            <w:vAlign w:val="bottom"/>
            <w:shd w:val="clear" w:color="auto" w:fill="D5E6F7"/>
          </w:tcPr>
          <w:p>
            <w:pPr>
              <w:spacing w:after="0"/>
              <w:rPr>
                <w:sz w:val="20"/>
                <w:szCs w:val="20"/>
                <w:color w:val="auto"/>
              </w:rPr>
            </w:pPr>
            <w:r>
              <w:rPr>
                <w:rFonts w:ascii="Arial" w:cs="Arial" w:eastAsia="Arial" w:hAnsi="Arial"/>
                <w:sz w:val="18"/>
                <w:szCs w:val="18"/>
                <w:color w:val="auto"/>
              </w:rPr>
              <w:t>Cash payments for operating leases</w:t>
            </w:r>
          </w:p>
        </w:tc>
        <w:tc>
          <w:tcPr>
            <w:tcW w:w="104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3,945</w:t>
            </w: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3,343</w:t>
            </w:r>
          </w:p>
        </w:tc>
        <w:tc>
          <w:tcPr>
            <w:tcW w:w="24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D5E6F7"/>
          </w:tcPr>
          <w:p>
            <w:pPr>
              <w:spacing w:after="0"/>
              <w:rPr>
                <w:sz w:val="18"/>
                <w:szCs w:val="18"/>
                <w:color w:val="auto"/>
              </w:rPr>
            </w:pPr>
          </w:p>
        </w:tc>
      </w:tr>
      <w:tr>
        <w:trPr>
          <w:trHeight w:val="197"/>
        </w:trPr>
        <w:tc>
          <w:tcPr>
            <w:tcW w:w="5980" w:type="dxa"/>
            <w:vAlign w:val="bottom"/>
          </w:tcPr>
          <w:p>
            <w:pPr>
              <w:spacing w:after="0" w:line="197" w:lineRule="exact"/>
              <w:rPr>
                <w:sz w:val="20"/>
                <w:szCs w:val="20"/>
                <w:color w:val="auto"/>
              </w:rPr>
            </w:pPr>
            <w:r>
              <w:rPr>
                <w:rFonts w:ascii="Arial" w:cs="Arial" w:eastAsia="Arial" w:hAnsi="Arial"/>
                <w:sz w:val="18"/>
                <w:szCs w:val="18"/>
                <w:color w:val="auto"/>
              </w:rPr>
              <w:t>Right-of-use assets recognized in exchange for new operating</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8"/>
                <w:szCs w:val="18"/>
                <w:color w:val="auto"/>
              </w:rPr>
              <w:t>lease obligations</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11,289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20"/>
                <w:szCs w:val="20"/>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As of January 31, 2022, maturities of operating lease liabilities were as follows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 January 31,</w:t>
            </w: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January 31, 2022</w:t>
            </w:r>
          </w:p>
        </w:tc>
      </w:tr>
      <w:tr>
        <w:trPr>
          <w:trHeight w:val="203"/>
        </w:trPr>
        <w:tc>
          <w:tcPr>
            <w:tcW w:w="2200" w:type="dxa"/>
            <w:vAlign w:val="bottom"/>
            <w:tcBorders>
              <w:top w:val="single" w:sz="8" w:color="auto"/>
            </w:tcBorders>
            <w:shd w:val="clear" w:color="auto" w:fill="D5E6F7"/>
          </w:tcPr>
          <w:p>
            <w:pPr>
              <w:spacing w:after="0" w:line="203" w:lineRule="exact"/>
              <w:rPr>
                <w:sz w:val="20"/>
                <w:szCs w:val="20"/>
                <w:color w:val="auto"/>
              </w:rPr>
            </w:pPr>
            <w:r>
              <w:rPr>
                <w:rFonts w:ascii="Arial" w:cs="Arial" w:eastAsia="Arial" w:hAnsi="Arial"/>
                <w:sz w:val="18"/>
                <w:szCs w:val="18"/>
                <w:color w:val="auto"/>
              </w:rPr>
              <w:t>2023</w:t>
            </w:r>
          </w:p>
        </w:tc>
        <w:tc>
          <w:tcPr>
            <w:tcW w:w="7680" w:type="dxa"/>
            <w:vAlign w:val="bottom"/>
            <w:tcBorders>
              <w:top w:val="single" w:sz="8" w:color="D5E6F7"/>
            </w:tcBorders>
            <w:shd w:val="clear" w:color="auto" w:fill="D5E6F7"/>
          </w:tcPr>
          <w:p>
            <w:pPr>
              <w:spacing w:after="0"/>
              <w:rPr>
                <w:sz w:val="17"/>
                <w:szCs w:val="17"/>
                <w:color w:val="auto"/>
              </w:rPr>
            </w:pPr>
          </w:p>
        </w:tc>
        <w:tc>
          <w:tcPr>
            <w:tcW w:w="400" w:type="dxa"/>
            <w:vAlign w:val="bottom"/>
            <w:tcBorders>
              <w:top w:val="single" w:sz="8" w:color="auto"/>
            </w:tcBorders>
            <w:shd w:val="clear" w:color="auto" w:fill="D5E6F7"/>
          </w:tcPr>
          <w:p>
            <w:pPr>
              <w:jc w:val="right"/>
              <w:ind w:right="196"/>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5E6F7"/>
          </w:tcPr>
          <w:p>
            <w:pPr>
              <w:jc w:val="right"/>
              <w:spacing w:after="0" w:line="203" w:lineRule="exact"/>
              <w:rPr>
                <w:sz w:val="20"/>
                <w:szCs w:val="20"/>
                <w:color w:val="auto"/>
              </w:rPr>
            </w:pPr>
            <w:r>
              <w:rPr>
                <w:rFonts w:ascii="Arial" w:cs="Arial" w:eastAsia="Arial" w:hAnsi="Arial"/>
                <w:sz w:val="18"/>
                <w:szCs w:val="18"/>
                <w:color w:val="auto"/>
              </w:rPr>
              <w:t>3,188</w:t>
            </w:r>
          </w:p>
        </w:tc>
        <w:tc>
          <w:tcPr>
            <w:tcW w:w="120" w:type="dxa"/>
            <w:vAlign w:val="bottom"/>
            <w:tcBorders>
              <w:top w:val="single" w:sz="8" w:color="D5E6F7"/>
            </w:tcBorders>
            <w:shd w:val="clear" w:color="auto" w:fill="D5E6F7"/>
          </w:tcPr>
          <w:p>
            <w:pPr>
              <w:spacing w:after="0"/>
              <w:rPr>
                <w:sz w:val="17"/>
                <w:szCs w:val="17"/>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2024</w:t>
            </w:r>
          </w:p>
        </w:tc>
        <w:tc>
          <w:tcPr>
            <w:tcW w:w="7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r>
      <w:tr>
        <w:trPr>
          <w:trHeight w:val="216"/>
        </w:trPr>
        <w:tc>
          <w:tcPr>
            <w:tcW w:w="2200" w:type="dxa"/>
            <w:vAlign w:val="bottom"/>
            <w:shd w:val="clear" w:color="auto" w:fill="D5E6F7"/>
          </w:tcPr>
          <w:p>
            <w:pPr>
              <w:spacing w:after="0"/>
              <w:rPr>
                <w:sz w:val="20"/>
                <w:szCs w:val="20"/>
                <w:color w:val="auto"/>
              </w:rPr>
            </w:pPr>
            <w:r>
              <w:rPr>
                <w:rFonts w:ascii="Arial" w:cs="Arial" w:eastAsia="Arial" w:hAnsi="Arial"/>
                <w:sz w:val="18"/>
                <w:szCs w:val="18"/>
                <w:color w:val="auto"/>
              </w:rPr>
              <w:t>2025</w:t>
            </w:r>
          </w:p>
        </w:tc>
        <w:tc>
          <w:tcPr>
            <w:tcW w:w="768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8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2,840</w:t>
            </w:r>
          </w:p>
        </w:tc>
        <w:tc>
          <w:tcPr>
            <w:tcW w:w="120" w:type="dxa"/>
            <w:vAlign w:val="bottom"/>
            <w:shd w:val="clear" w:color="auto" w:fill="D5E6F7"/>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2026</w:t>
            </w:r>
          </w:p>
        </w:tc>
        <w:tc>
          <w:tcPr>
            <w:tcW w:w="7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8"/>
                <w:szCs w:val="18"/>
                <w:color w:val="auto"/>
              </w:rPr>
            </w:pPr>
          </w:p>
        </w:tc>
      </w:tr>
      <w:tr>
        <w:trPr>
          <w:trHeight w:val="216"/>
        </w:trPr>
        <w:tc>
          <w:tcPr>
            <w:tcW w:w="2200" w:type="dxa"/>
            <w:vAlign w:val="bottom"/>
            <w:shd w:val="clear" w:color="auto" w:fill="D5E6F7"/>
          </w:tcPr>
          <w:p>
            <w:pPr>
              <w:spacing w:after="0"/>
              <w:rPr>
                <w:sz w:val="20"/>
                <w:szCs w:val="20"/>
                <w:color w:val="auto"/>
              </w:rPr>
            </w:pPr>
            <w:r>
              <w:rPr>
                <w:rFonts w:ascii="Arial" w:cs="Arial" w:eastAsia="Arial" w:hAnsi="Arial"/>
                <w:sz w:val="18"/>
                <w:szCs w:val="18"/>
                <w:color w:val="auto"/>
              </w:rPr>
              <w:t>2027</w:t>
            </w:r>
          </w:p>
        </w:tc>
        <w:tc>
          <w:tcPr>
            <w:tcW w:w="768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8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D5E6F7"/>
          </w:tcPr>
          <w:p>
            <w:pPr>
              <w:spacing w:after="0"/>
              <w:rPr>
                <w:sz w:val="18"/>
                <w:szCs w:val="18"/>
                <w:color w:val="auto"/>
              </w:rPr>
            </w:pPr>
          </w:p>
        </w:tc>
      </w:tr>
      <w:tr>
        <w:trPr>
          <w:trHeight w:val="216"/>
        </w:trPr>
        <w:tc>
          <w:tcPr>
            <w:tcW w:w="9880" w:type="dxa"/>
            <w:vAlign w:val="bottom"/>
            <w:tcBorders>
              <w:bottom w:val="single" w:sz="8" w:color="D5E6F7"/>
            </w:tcBorders>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D5E6F7"/>
            </w:tcBorders>
          </w:tcPr>
          <w:p>
            <w:pPr>
              <w:spacing w:after="0"/>
              <w:rPr>
                <w:sz w:val="18"/>
                <w:szCs w:val="18"/>
                <w:color w:val="auto"/>
              </w:rPr>
            </w:pPr>
          </w:p>
        </w:tc>
      </w:tr>
      <w:tr>
        <w:trPr>
          <w:trHeight w:val="209"/>
        </w:trPr>
        <w:tc>
          <w:tcPr>
            <w:tcW w:w="9880" w:type="dxa"/>
            <w:vAlign w:val="bottom"/>
            <w:gridSpan w:val="2"/>
            <w:shd w:val="clear" w:color="auto" w:fill="D5E6F7"/>
          </w:tcPr>
          <w:p>
            <w:pPr>
              <w:ind w:left="140"/>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shd w:val="clear" w:color="auto" w:fill="D5E6F7"/>
          </w:tcPr>
          <w:p>
            <w:pPr>
              <w:spacing w:after="0"/>
              <w:rPr>
                <w:sz w:val="18"/>
                <w:szCs w:val="18"/>
                <w:color w:val="auto"/>
              </w:rPr>
            </w:pPr>
          </w:p>
        </w:tc>
        <w:tc>
          <w:tcPr>
            <w:tcW w:w="8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16,104</w:t>
            </w:r>
          </w:p>
        </w:tc>
        <w:tc>
          <w:tcPr>
            <w:tcW w:w="120" w:type="dxa"/>
            <w:vAlign w:val="bottom"/>
            <w:shd w:val="clear" w:color="auto" w:fill="D5E6F7"/>
          </w:tcPr>
          <w:p>
            <w:pPr>
              <w:spacing w:after="0"/>
              <w:rPr>
                <w:sz w:val="18"/>
                <w:szCs w:val="18"/>
                <w:color w:val="auto"/>
              </w:rPr>
            </w:pP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r>
      <w:tr>
        <w:trPr>
          <w:trHeight w:val="210"/>
        </w:trPr>
        <w:tc>
          <w:tcPr>
            <w:tcW w:w="9880" w:type="dxa"/>
            <w:vAlign w:val="bottom"/>
            <w:tcBorders>
              <w:top w:val="single" w:sz="8" w:color="D5E6F7"/>
              <w:bottom w:val="single" w:sz="8" w:color="D5E6F7"/>
            </w:tcBorders>
            <w:gridSpan w:val="2"/>
            <w:shd w:val="clear" w:color="auto" w:fill="D5E6F7"/>
          </w:tcPr>
          <w:p>
            <w:pPr>
              <w:ind w:left="300"/>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Borders>
              <w:top w:val="single" w:sz="8" w:color="auto"/>
              <w:bottom w:val="single" w:sz="8" w:color="auto"/>
            </w:tcBorders>
            <w:shd w:val="clear" w:color="auto" w:fill="D5E6F7"/>
          </w:tcPr>
          <w:p>
            <w:pPr>
              <w:jc w:val="right"/>
              <w:ind w:right="1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14,454</w:t>
            </w:r>
          </w:p>
        </w:tc>
        <w:tc>
          <w:tcPr>
            <w:tcW w:w="12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22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Arial" w:cs="Arial" w:eastAsia="Arial" w:hAnsi="Arial"/>
          <w:sz w:val="25"/>
          <w:szCs w:val="25"/>
          <w:b w:val="1"/>
          <w:bCs w:val="1"/>
          <w:color w:val="003A5D"/>
        </w:rPr>
        <w:t>Note 8: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Common Stock Reserved for Future Issuance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shares of common stock reserved for issuance as follows (in thousands):</w:t>
      </w:r>
    </w:p>
    <w:p>
      <w:pPr>
        <w:spacing w:after="0" w:line="19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240" w:type="dxa"/>
            <w:vAlign w:val="bottom"/>
          </w:tcPr>
          <w:p>
            <w:pPr>
              <w:spacing w:after="0"/>
              <w:rPr>
                <w:sz w:val="13"/>
                <w:szCs w:val="13"/>
                <w:color w:val="auto"/>
              </w:rPr>
            </w:pPr>
          </w:p>
        </w:tc>
        <w:tc>
          <w:tcPr>
            <w:tcW w:w="1320" w:type="dxa"/>
            <w:vAlign w:val="bottom"/>
            <w:tcBorders>
              <w:top w:val="single" w:sz="8" w:color="auto"/>
            </w:tcBorders>
          </w:tcPr>
          <w:p>
            <w:pPr>
              <w:ind w:left="500"/>
              <w:spacing w:after="0" w:line="160" w:lineRule="exact"/>
              <w:rPr>
                <w:sz w:val="20"/>
                <w:szCs w:val="20"/>
                <w:color w:val="auto"/>
              </w:rPr>
            </w:pPr>
            <w:r>
              <w:rPr>
                <w:rFonts w:ascii="Arial" w:cs="Arial" w:eastAsia="Arial" w:hAnsi="Arial"/>
                <w:sz w:val="14"/>
                <w:szCs w:val="14"/>
                <w:b w:val="1"/>
                <w:bCs w:val="1"/>
                <w:color w:val="auto"/>
              </w:rPr>
              <w:t>January 31,</w:t>
            </w:r>
          </w:p>
        </w:tc>
        <w:tc>
          <w:tcPr>
            <w:tcW w:w="5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right"/>
              <w:ind w:right="415"/>
              <w:spacing w:after="0" w:line="160"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3"/>
                <w:szCs w:val="13"/>
                <w:color w:val="auto"/>
              </w:rPr>
            </w:pPr>
          </w:p>
        </w:tc>
      </w:tr>
      <w:tr>
        <w:trPr>
          <w:trHeight w:val="171"/>
        </w:trPr>
        <w:tc>
          <w:tcPr>
            <w:tcW w:w="8560" w:type="dxa"/>
            <w:vAlign w:val="bottom"/>
            <w:gridSpan w:val="2"/>
          </w:tcPr>
          <w:p>
            <w:pPr>
              <w:ind w:left="798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09"/>
        </w:trPr>
        <w:tc>
          <w:tcPr>
            <w:tcW w:w="724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Restricted stock units outstanding</w:t>
            </w:r>
          </w:p>
        </w:tc>
        <w:tc>
          <w:tcPr>
            <w:tcW w:w="1320" w:type="dxa"/>
            <w:vAlign w:val="bottom"/>
            <w:tcBorders>
              <w:top w:val="single" w:sz="8" w:color="auto"/>
            </w:tcBorders>
            <w:shd w:val="clear" w:color="auto" w:fill="D5E6F7"/>
          </w:tcPr>
          <w:p>
            <w:pPr>
              <w:spacing w:after="0"/>
              <w:rPr>
                <w:sz w:val="18"/>
                <w:szCs w:val="18"/>
                <w:color w:val="auto"/>
              </w:rPr>
            </w:pPr>
          </w:p>
        </w:tc>
        <w:tc>
          <w:tcPr>
            <w:tcW w:w="50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Borders>
              <w:top w:val="single" w:sz="8" w:color="D5E6F7"/>
            </w:tcBorders>
            <w:shd w:val="clear" w:color="auto" w:fill="D5E6F7"/>
          </w:tcPr>
          <w:p>
            <w:pPr>
              <w:spacing w:after="0"/>
              <w:rPr>
                <w:sz w:val="18"/>
                <w:szCs w:val="18"/>
                <w:color w:val="auto"/>
              </w:rPr>
            </w:pPr>
          </w:p>
        </w:tc>
        <w:tc>
          <w:tcPr>
            <w:tcW w:w="17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Borders>
              <w:top w:val="single" w:sz="8" w:color="D5E6F7"/>
            </w:tcBorders>
            <w:shd w:val="clear" w:color="auto" w:fill="D5E6F7"/>
          </w:tcPr>
          <w:p>
            <w:pPr>
              <w:spacing w:after="0"/>
              <w:rPr>
                <w:sz w:val="18"/>
                <w:szCs w:val="18"/>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1,325</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18"/>
                <w:szCs w:val="18"/>
                <w:color w:val="auto"/>
              </w:rPr>
            </w:pPr>
          </w:p>
        </w:tc>
      </w:tr>
      <w:tr>
        <w:trPr>
          <w:trHeight w:val="216"/>
        </w:trPr>
        <w:tc>
          <w:tcPr>
            <w:tcW w:w="8560" w:type="dxa"/>
            <w:vAlign w:val="bottom"/>
            <w:gridSpan w:val="2"/>
            <w:shd w:val="clear" w:color="auto" w:fill="D5E6F7"/>
          </w:tcPr>
          <w:p>
            <w:pPr>
              <w:spacing w:after="0"/>
              <w:rPr>
                <w:sz w:val="20"/>
                <w:szCs w:val="20"/>
                <w:color w:val="auto"/>
              </w:rPr>
            </w:pPr>
            <w:r>
              <w:rPr>
                <w:rFonts w:ascii="Arial" w:cs="Arial" w:eastAsia="Arial" w:hAnsi="Arial"/>
                <w:sz w:val="18"/>
                <w:szCs w:val="18"/>
                <w:color w:val="auto"/>
              </w:rPr>
              <w:t>Shares available for future issuance under stock plans</w:t>
            </w:r>
          </w:p>
        </w:tc>
        <w:tc>
          <w:tcPr>
            <w:tcW w:w="5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2,354</w:t>
            </w:r>
          </w:p>
        </w:tc>
        <w:tc>
          <w:tcPr>
            <w:tcW w:w="280" w:type="dxa"/>
            <w:vAlign w:val="bottom"/>
            <w:shd w:val="clear" w:color="auto" w:fill="D5E6F7"/>
          </w:tcPr>
          <w:p>
            <w:pPr>
              <w:spacing w:after="0"/>
              <w:rPr>
                <w:sz w:val="18"/>
                <w:szCs w:val="18"/>
                <w:color w:val="auto"/>
              </w:rPr>
            </w:pPr>
          </w:p>
        </w:tc>
        <w:tc>
          <w:tcPr>
            <w:tcW w:w="17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D5E6F7"/>
          </w:tcPr>
          <w:p>
            <w:pPr>
              <w:spacing w:after="0"/>
              <w:rPr>
                <w:sz w:val="18"/>
                <w:szCs w:val="18"/>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Shares reserved under ESPP</w:t>
            </w:r>
          </w:p>
        </w:tc>
        <w:tc>
          <w:tcPr>
            <w:tcW w:w="500" w:type="dxa"/>
            <w:vAlign w:val="bottom"/>
          </w:tcPr>
          <w:p>
            <w:pPr>
              <w:jc w:val="right"/>
              <w:spacing w:after="0"/>
              <w:rPr>
                <w:sz w:val="20"/>
                <w:szCs w:val="20"/>
                <w:color w:val="auto"/>
              </w:rPr>
            </w:pPr>
            <w:r>
              <w:rPr>
                <w:rFonts w:ascii="Arial" w:cs="Arial" w:eastAsia="Arial" w:hAnsi="Arial"/>
                <w:sz w:val="18"/>
                <w:szCs w:val="18"/>
                <w:color w:val="auto"/>
              </w:rPr>
              <w:t>1,370</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r>
      <w:tr>
        <w:trPr>
          <w:trHeight w:val="209"/>
        </w:trPr>
        <w:tc>
          <w:tcPr>
            <w:tcW w:w="7240" w:type="dxa"/>
            <w:vAlign w:val="bottom"/>
            <w:tcBorders>
              <w:top w:val="single" w:sz="8" w:color="D5E6F7"/>
              <w:bottom w:val="single" w:sz="8" w:color="D5E6F7"/>
            </w:tcBorders>
            <w:shd w:val="clear" w:color="auto" w:fill="D5E6F7"/>
          </w:tcPr>
          <w:p>
            <w:pPr>
              <w:ind w:left="260"/>
              <w:spacing w:after="0"/>
              <w:rPr>
                <w:sz w:val="20"/>
                <w:szCs w:val="20"/>
                <w:color w:val="auto"/>
              </w:rPr>
            </w:pPr>
            <w:r>
              <w:rPr>
                <w:rFonts w:ascii="Arial" w:cs="Arial" w:eastAsia="Arial" w:hAnsi="Arial"/>
                <w:sz w:val="18"/>
                <w:szCs w:val="18"/>
                <w:color w:val="auto"/>
              </w:rPr>
              <w:t>Total shares reserved for issuance</w:t>
            </w:r>
          </w:p>
        </w:tc>
        <w:tc>
          <w:tcPr>
            <w:tcW w:w="1320" w:type="dxa"/>
            <w:vAlign w:val="bottom"/>
            <w:tcBorders>
              <w:top w:val="single" w:sz="8" w:color="auto"/>
              <w:bottom w:val="single" w:sz="8" w:color="auto"/>
            </w:tcBorders>
            <w:shd w:val="clear" w:color="auto" w:fill="D5E6F7"/>
          </w:tcPr>
          <w:p>
            <w:pPr>
              <w:spacing w:after="0"/>
              <w:rPr>
                <w:sz w:val="18"/>
                <w:szCs w:val="18"/>
                <w:color w:val="auto"/>
              </w:rPr>
            </w:pPr>
          </w:p>
        </w:tc>
        <w:tc>
          <w:tcPr>
            <w:tcW w:w="5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6,361</w:t>
            </w:r>
          </w:p>
        </w:tc>
        <w:tc>
          <w:tcPr>
            <w:tcW w:w="280" w:type="dxa"/>
            <w:vAlign w:val="bottom"/>
            <w:tcBorders>
              <w:top w:val="single" w:sz="8" w:color="D5E6F7"/>
              <w:bottom w:val="single" w:sz="8" w:color="D5E6F7"/>
            </w:tcBorders>
            <w:shd w:val="clear" w:color="auto" w:fill="D5E6F7"/>
          </w:tcPr>
          <w:p>
            <w:pPr>
              <w:spacing w:after="0"/>
              <w:rPr>
                <w:sz w:val="18"/>
                <w:szCs w:val="18"/>
                <w:color w:val="auto"/>
              </w:rPr>
            </w:pPr>
          </w:p>
        </w:tc>
        <w:tc>
          <w:tcPr>
            <w:tcW w:w="17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03A5D"/>
        </w:rPr>
        <w:t xml:space="preserve">Stock Options. </w:t>
      </w:r>
      <w:r>
        <w:rPr>
          <w:rFonts w:ascii="Arial" w:cs="Arial" w:eastAsia="Arial" w:hAnsi="Arial"/>
          <w:sz w:val="18"/>
          <w:szCs w:val="18"/>
          <w:color w:val="000000"/>
        </w:rPr>
        <w:t>Under the Company's 2015 Equity Incentive Plan, or the 2015 Plan, options to purchase shares of common stock may be</w:t>
      </w:r>
      <w:r>
        <w:rPr>
          <w:rFonts w:ascii="Arial" w:cs="Arial" w:eastAsia="Arial" w:hAnsi="Arial"/>
          <w:sz w:val="18"/>
          <w:szCs w:val="18"/>
          <w:b w:val="1"/>
          <w:bCs w:val="1"/>
          <w:color w:val="003A5D"/>
        </w:rPr>
        <w:t xml:space="preserve"> </w:t>
      </w:r>
      <w:r>
        <w:rPr>
          <w:rFonts w:ascii="Arial" w:cs="Arial" w:eastAsia="Arial" w:hAnsi="Arial"/>
          <w:sz w:val="18"/>
          <w:szCs w:val="18"/>
          <w:color w:val="000000"/>
        </w:rPr>
        <w:t>granted to employees, non-employee directors and consultants. These options vest from the date of grant to up to four years and expire ten years from the date of grant. Options may be exercised anytime during their term in accordance with the vesting/exercise schedule specified in the recipient’s stock option agreement and in accordance with the 2015 plan provisions.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fiscal 2022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6120" w:type="dxa"/>
            <w:vAlign w:val="bottom"/>
          </w:tcPr>
          <w:p>
            <w:pPr>
              <w:spacing w:after="0"/>
              <w:rPr>
                <w:sz w:val="15"/>
                <w:szCs w:val="15"/>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12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Balance as of January 31, 2021</w:t>
            </w:r>
          </w:p>
        </w:tc>
        <w:tc>
          <w:tcPr>
            <w:tcW w:w="15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1,366</w:t>
            </w:r>
          </w:p>
        </w:tc>
        <w:tc>
          <w:tcPr>
            <w:tcW w:w="160" w:type="dxa"/>
            <w:vAlign w:val="bottom"/>
            <w:tcBorders>
              <w:top w:val="single" w:sz="8" w:color="D5E6F7"/>
            </w:tcBorders>
            <w:shd w:val="clear" w:color="auto" w:fill="D5E6F7"/>
          </w:tcPr>
          <w:p>
            <w:pPr>
              <w:spacing w:after="0"/>
              <w:rPr>
                <w:sz w:val="18"/>
                <w:szCs w:val="18"/>
                <w:color w:val="auto"/>
              </w:rPr>
            </w:pPr>
          </w:p>
        </w:tc>
        <w:tc>
          <w:tcPr>
            <w:tcW w:w="100" w:type="dxa"/>
            <w:vAlign w:val="bottom"/>
            <w:tcBorders>
              <w:top w:val="single" w:sz="8" w:color="D5E6F7"/>
            </w:tcBorders>
            <w:shd w:val="clear" w:color="auto" w:fill="D5E6F7"/>
          </w:tcPr>
          <w:p>
            <w:pPr>
              <w:spacing w:after="0"/>
              <w:rPr>
                <w:sz w:val="18"/>
                <w:szCs w:val="18"/>
                <w:color w:val="auto"/>
              </w:rPr>
            </w:pPr>
          </w:p>
        </w:tc>
        <w:tc>
          <w:tcPr>
            <w:tcW w:w="10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Borders>
              <w:top w:val="single" w:sz="8" w:color="D5E6F7"/>
            </w:tcBorders>
            <w:shd w:val="clear" w:color="auto" w:fill="D5E6F7"/>
          </w:tcPr>
          <w:p>
            <w:pPr>
              <w:spacing w:after="0"/>
              <w:rPr>
                <w:sz w:val="18"/>
                <w:szCs w:val="18"/>
                <w:color w:val="auto"/>
              </w:rPr>
            </w:pPr>
          </w:p>
        </w:tc>
        <w:tc>
          <w:tcPr>
            <w:tcW w:w="1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Borders>
              <w:top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D5E6F7"/>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D5E6F7"/>
          </w:tcPr>
          <w:p>
            <w:pPr>
              <w:jc w:val="right"/>
              <w:ind w:right="100"/>
              <w:spacing w:after="0"/>
              <w:rPr>
                <w:sz w:val="20"/>
                <w:szCs w:val="20"/>
                <w:color w:val="auto"/>
              </w:rPr>
            </w:pPr>
            <w:r>
              <w:rPr>
                <w:rFonts w:ascii="Arial" w:cs="Arial" w:eastAsia="Arial" w:hAnsi="Arial"/>
                <w:sz w:val="18"/>
                <w:szCs w:val="18"/>
                <w:color w:val="auto"/>
              </w:rPr>
              <w:t>(125)</w:t>
            </w:r>
          </w:p>
        </w:tc>
        <w:tc>
          <w:tcPr>
            <w:tcW w:w="200" w:type="dxa"/>
            <w:vAlign w:val="bottom"/>
            <w:gridSpan w:val="2"/>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13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D5E6F7"/>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Balance as of January 31, 2022</w:t>
            </w:r>
          </w:p>
        </w:tc>
        <w:tc>
          <w:tcPr>
            <w:tcW w:w="15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1,325</w:t>
            </w:r>
          </w:p>
        </w:tc>
        <w:tc>
          <w:tcPr>
            <w:tcW w:w="160" w:type="dxa"/>
            <w:vAlign w:val="bottom"/>
            <w:tcBorders>
              <w:top w:val="single" w:sz="8" w:color="D5E6F7"/>
              <w:bottom w:val="single" w:sz="8" w:color="D5E6F7"/>
            </w:tcBorders>
            <w:shd w:val="clear" w:color="auto" w:fill="D5E6F7"/>
          </w:tcPr>
          <w:p>
            <w:pPr>
              <w:spacing w:after="0"/>
              <w:rPr>
                <w:sz w:val="18"/>
                <w:szCs w:val="18"/>
                <w:color w:val="auto"/>
              </w:rPr>
            </w:pPr>
          </w:p>
        </w:tc>
        <w:tc>
          <w:tcPr>
            <w:tcW w:w="200" w:type="dxa"/>
            <w:vAlign w:val="bottom"/>
            <w:tcBorders>
              <w:top w:val="single" w:sz="8" w:color="D5E6F7"/>
              <w:bottom w:val="single" w:sz="8" w:color="D5E6F7"/>
            </w:tcBorders>
            <w:gridSpan w:val="2"/>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D5E6F7"/>
              <w:bottom w:val="single" w:sz="8" w:color="D5E6F7"/>
            </w:tcBorders>
            <w:shd w:val="clear" w:color="auto" w:fill="D5E6F7"/>
          </w:tcPr>
          <w:p>
            <w:pPr>
              <w:jc w:val="right"/>
              <w:spacing w:after="0"/>
              <w:rPr>
                <w:sz w:val="20"/>
                <w:szCs w:val="20"/>
                <w:color w:val="auto"/>
              </w:rPr>
            </w:pPr>
            <w:r>
              <w:rPr>
                <w:rFonts w:ascii="Arial" w:cs="Arial" w:eastAsia="Arial" w:hAnsi="Arial"/>
                <w:sz w:val="18"/>
                <w:szCs w:val="18"/>
                <w:color w:val="auto"/>
              </w:rPr>
              <w:t>8.93</w:t>
            </w:r>
          </w:p>
        </w:tc>
        <w:tc>
          <w:tcPr>
            <w:tcW w:w="260" w:type="dxa"/>
            <w:vAlign w:val="bottom"/>
            <w:tcBorders>
              <w:top w:val="single" w:sz="8" w:color="D5E6F7"/>
              <w:bottom w:val="single" w:sz="8" w:color="D5E6F7"/>
            </w:tcBorders>
            <w:shd w:val="clear" w:color="auto" w:fill="D5E6F7"/>
          </w:tcPr>
          <w:p>
            <w:pPr>
              <w:spacing w:after="0"/>
              <w:rPr>
                <w:sz w:val="18"/>
                <w:szCs w:val="18"/>
                <w:color w:val="auto"/>
              </w:rPr>
            </w:pPr>
          </w:p>
        </w:tc>
        <w:tc>
          <w:tcPr>
            <w:tcW w:w="180" w:type="dxa"/>
            <w:vAlign w:val="bottom"/>
            <w:tcBorders>
              <w:top w:val="single" w:sz="8" w:color="D5E6F7"/>
              <w:bottom w:val="single" w:sz="8" w:color="D5E6F7"/>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D5E6F7"/>
              <w:bottom w:val="single" w:sz="8" w:color="D5E6F7"/>
            </w:tcBorders>
            <w:shd w:val="clear" w:color="auto" w:fill="D5E6F7"/>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tcBorders>
              <w:top w:val="single" w:sz="8" w:color="D5E6F7"/>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Vested and exercisable as of January 31, 2022</w:t>
            </w: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w:t>
            </w:r>
          </w:p>
        </w:tc>
        <w:tc>
          <w:tcPr>
            <w:tcW w:w="16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aggregate intrinsic value of vested options exercised during fiscal 2022, 2021 and 2020 was $1.9 million, $1.4 million and $2.2 million, respectively. The weighted-average grant date fair value of options granted during fiscal 2022, 2021 and 2020 was $7.89, $4.72 and $7.13, respectively.</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03A5D"/>
        </w:rPr>
        <w:t xml:space="preserve">Restricted Stock Units. </w:t>
      </w:r>
      <w:r>
        <w:rPr>
          <w:rFonts w:ascii="Arial" w:cs="Arial" w:eastAsia="Arial" w:hAnsi="Arial"/>
          <w:sz w:val="18"/>
          <w:szCs w:val="18"/>
          <w:color w:val="000000"/>
        </w:rPr>
        <w:t>Under the 2015 Plan, RSUs may be granted to employees, non-employee directors and consultants. These RSUs</w:t>
      </w:r>
      <w:r>
        <w:rPr>
          <w:rFonts w:ascii="Arial" w:cs="Arial" w:eastAsia="Arial" w:hAnsi="Arial"/>
          <w:sz w:val="18"/>
          <w:szCs w:val="18"/>
          <w:b w:val="1"/>
          <w:bCs w:val="1"/>
          <w:color w:val="003A5D"/>
        </w:rPr>
        <w:t xml:space="preserve"> </w:t>
      </w:r>
      <w:r>
        <w:rPr>
          <w:rFonts w:ascii="Arial" w:cs="Arial" w:eastAsia="Arial" w:hAnsi="Arial"/>
          <w:sz w:val="18"/>
          <w:szCs w:val="18"/>
          <w:color w:val="000000"/>
        </w:rPr>
        <w:t>vest ratably over a period ranging from one to four years, and are subject to the participant’s continuing service to the Company over that period. Until vested, RSUs do not have the voting and dividend participation rights of common stock and the shares underlying the awards are not considered issued and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fiscal 2022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240" w:type="dxa"/>
            <w:vAlign w:val="bottom"/>
          </w:tcPr>
          <w:p>
            <w:pPr>
              <w:spacing w:after="0"/>
              <w:rPr>
                <w:sz w:val="14"/>
                <w:szCs w:val="14"/>
                <w:color w:val="auto"/>
              </w:rPr>
            </w:pPr>
          </w:p>
        </w:tc>
        <w:tc>
          <w:tcPr>
            <w:tcW w:w="19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Grant-Date Fair</w:t>
            </w:r>
          </w:p>
        </w:tc>
      </w:tr>
      <w:tr>
        <w:trPr>
          <w:trHeight w:val="171"/>
        </w:trPr>
        <w:tc>
          <w:tcPr>
            <w:tcW w:w="7240" w:type="dxa"/>
            <w:vAlign w:val="bottom"/>
          </w:tcPr>
          <w:p>
            <w:pPr>
              <w:spacing w:after="0"/>
              <w:rPr>
                <w:sz w:val="14"/>
                <w:szCs w:val="14"/>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 Per Share</w:t>
            </w:r>
          </w:p>
        </w:tc>
      </w:tr>
      <w:tr>
        <w:trPr>
          <w:trHeight w:val="210"/>
        </w:trPr>
        <w:tc>
          <w:tcPr>
            <w:tcW w:w="724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Balance as of January 31, 2021</w:t>
            </w:r>
          </w:p>
        </w:tc>
        <w:tc>
          <w:tcPr>
            <w:tcW w:w="180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Borders>
              <w:top w:val="single" w:sz="8" w:color="D5E6F7"/>
            </w:tcBorders>
            <w:shd w:val="clear" w:color="auto" w:fill="D5E6F7"/>
          </w:tcPr>
          <w:p>
            <w:pPr>
              <w:spacing w:after="0"/>
              <w:rPr>
                <w:sz w:val="18"/>
                <w:szCs w:val="18"/>
                <w:color w:val="auto"/>
              </w:rPr>
            </w:pPr>
          </w:p>
        </w:tc>
        <w:tc>
          <w:tcPr>
            <w:tcW w:w="120" w:type="dxa"/>
            <w:vAlign w:val="bottom"/>
            <w:tcBorders>
              <w:top w:val="single" w:sz="8" w:color="D5E6F7"/>
            </w:tcBorders>
            <w:shd w:val="clear" w:color="auto" w:fill="D5E6F7"/>
          </w:tcPr>
          <w:p>
            <w:pPr>
              <w:spacing w:after="0"/>
              <w:rPr>
                <w:sz w:val="18"/>
                <w:szCs w:val="18"/>
                <w:color w:val="auto"/>
              </w:rPr>
            </w:pPr>
          </w:p>
        </w:tc>
        <w:tc>
          <w:tcPr>
            <w:tcW w:w="1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Borders>
              <w:top w:val="single" w:sz="8" w:color="D5E6F7"/>
            </w:tcBorders>
            <w:shd w:val="clear" w:color="auto" w:fill="D5E6F7"/>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18"/>
                <w:szCs w:val="18"/>
                <w:color w:val="auto"/>
              </w:rPr>
            </w:pPr>
          </w:p>
        </w:tc>
      </w:tr>
      <w:tr>
        <w:trPr>
          <w:trHeight w:val="216"/>
        </w:trPr>
        <w:tc>
          <w:tcPr>
            <w:tcW w:w="7240" w:type="dxa"/>
            <w:vAlign w:val="bottom"/>
            <w:shd w:val="clear" w:color="auto" w:fill="D5E6F7"/>
          </w:tcPr>
          <w:p>
            <w:pPr>
              <w:spacing w:after="0"/>
              <w:rPr>
                <w:sz w:val="20"/>
                <w:szCs w:val="20"/>
                <w:color w:val="auto"/>
              </w:rPr>
            </w:pPr>
            <w:r>
              <w:rPr>
                <w:rFonts w:ascii="Arial" w:cs="Arial" w:eastAsia="Arial" w:hAnsi="Arial"/>
                <w:sz w:val="18"/>
                <w:szCs w:val="18"/>
                <w:color w:val="auto"/>
              </w:rPr>
              <w:t>Vested</w:t>
            </w:r>
          </w:p>
        </w:tc>
        <w:tc>
          <w:tcPr>
            <w:tcW w:w="1980" w:type="dxa"/>
            <w:vAlign w:val="bottom"/>
            <w:gridSpan w:val="2"/>
            <w:shd w:val="clear" w:color="auto" w:fill="D5E6F7"/>
          </w:tcPr>
          <w:p>
            <w:pPr>
              <w:jc w:val="right"/>
              <w:ind w:right="120"/>
              <w:spacing w:after="0"/>
              <w:rPr>
                <w:sz w:val="20"/>
                <w:szCs w:val="20"/>
                <w:color w:val="auto"/>
              </w:rPr>
            </w:pPr>
            <w:r>
              <w:rPr>
                <w:rFonts w:ascii="Arial" w:cs="Arial" w:eastAsia="Arial" w:hAnsi="Arial"/>
                <w:sz w:val="18"/>
                <w:szCs w:val="18"/>
                <w:color w:val="auto"/>
              </w:rPr>
              <w:t>(824)</w:t>
            </w:r>
          </w:p>
        </w:tc>
        <w:tc>
          <w:tcPr>
            <w:tcW w:w="300" w:type="dxa"/>
            <w:vAlign w:val="bottom"/>
            <w:gridSpan w:val="2"/>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D5E6F7"/>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Canceled</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8"/>
                <w:szCs w:val="18"/>
                <w:color w:val="auto"/>
              </w:rPr>
            </w:pPr>
          </w:p>
        </w:tc>
      </w:tr>
      <w:tr>
        <w:trPr>
          <w:trHeight w:val="210"/>
        </w:trPr>
        <w:tc>
          <w:tcPr>
            <w:tcW w:w="7240" w:type="dxa"/>
            <w:vAlign w:val="bottom"/>
            <w:tcBorders>
              <w:top w:val="single" w:sz="8" w:color="D5E6F7"/>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Balance as of January 31, 2022</w:t>
            </w:r>
          </w:p>
        </w:tc>
        <w:tc>
          <w:tcPr>
            <w:tcW w:w="18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Borders>
              <w:top w:val="single" w:sz="8" w:color="D5E6F7"/>
              <w:bottom w:val="single" w:sz="8" w:color="D5E6F7"/>
            </w:tcBorders>
            <w:shd w:val="clear" w:color="auto" w:fill="D5E6F7"/>
          </w:tcPr>
          <w:p>
            <w:pPr>
              <w:spacing w:after="0"/>
              <w:rPr>
                <w:sz w:val="18"/>
                <w:szCs w:val="18"/>
                <w:color w:val="auto"/>
              </w:rPr>
            </w:pPr>
          </w:p>
        </w:tc>
        <w:tc>
          <w:tcPr>
            <w:tcW w:w="300" w:type="dxa"/>
            <w:vAlign w:val="bottom"/>
            <w:tcBorders>
              <w:top w:val="single" w:sz="8" w:color="D5E6F7"/>
              <w:bottom w:val="single" w:sz="8" w:color="D5E6F7"/>
            </w:tcBorders>
            <w:gridSpan w:val="2"/>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D5E6F7"/>
              <w:bottom w:val="single" w:sz="8" w:color="D5E6F7"/>
            </w:tcBorders>
            <w:shd w:val="clear" w:color="auto" w:fill="D5E6F7"/>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Vested RSUs included shares of common stock that the Company withheld on behalf of certain employees to satisfy the minimum statutory tax withholding requirements, as defined by the Company. The Company withheld an aggregate amount of $2.1 million, $ 1.6 million and $1.5 million in fiscal 2022, 2021 and 2020, respectively, which were classified as financing cash outflows in the consolidated statements of cash flows. The Company canceled and returned these shares to the 2015 Plan, which are available under the plan terms for future issuance.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3A5D"/>
        </w:rPr>
        <w:t>Employee Stock Purchase Plan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ESPP allows eligible employees to purchase shares of common stock at a discount through payroll deductions of up to 15% of their eligible compensation, subject to plan limitations. The ESPP provides for a 24-month offering period comprised of four purchase periods of approximately six months. Employees are able to purchase shares at 85% of the lower of the fair market value of the Company’s common stock as of the first date or the ending date of each six-month offering period. The offering periods are scheduled to start on the first trading day on or after March 15 and September 15 of each year. During each of the fiscal years 2022, 2021 and 2020, employees purchased 0.2 million shares at a weighted-average purchase price of $10.22, $9.98 and $9.97 per share,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Note 9: Stock-Based Compensation</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stock-based compensation recognized for stock-based awards in the consolidated statements of operations was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January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2"/>
        </w:trPr>
        <w:tc>
          <w:tcPr>
            <w:tcW w:w="6860" w:type="dxa"/>
            <w:vAlign w:val="bottom"/>
            <w:tcBorders>
              <w:bottom w:val="single" w:sz="8" w:color="D5E6F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5E6F7"/>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5E6F7"/>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5E6F7"/>
            </w:tcBorders>
          </w:tcPr>
          <w:p>
            <w:pPr>
              <w:spacing w:after="0"/>
              <w:rPr>
                <w:sz w:val="19"/>
                <w:szCs w:val="19"/>
                <w:color w:val="auto"/>
              </w:rPr>
            </w:pPr>
          </w:p>
        </w:tc>
      </w:tr>
      <w:tr>
        <w:trPr>
          <w:trHeight w:val="224"/>
        </w:trPr>
        <w:tc>
          <w:tcPr>
            <w:tcW w:w="6860" w:type="dxa"/>
            <w:vAlign w:val="bottom"/>
            <w:shd w:val="clear" w:color="auto" w:fill="D5E6F7"/>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979</w:t>
            </w:r>
          </w:p>
        </w:tc>
        <w:tc>
          <w:tcPr>
            <w:tcW w:w="52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1,015</w:t>
            </w:r>
          </w:p>
        </w:tc>
        <w:tc>
          <w:tcPr>
            <w:tcW w:w="640" w:type="dxa"/>
            <w:vAlign w:val="bottom"/>
            <w:gridSpan w:val="2"/>
            <w:shd w:val="clear" w:color="auto" w:fill="D5E6F7"/>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D5E6F7"/>
          </w:tcPr>
          <w:p>
            <w:pPr>
              <w:spacing w:after="0"/>
              <w:rPr>
                <w:sz w:val="19"/>
                <w:szCs w:val="19"/>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r>
      <w:tr>
        <w:trPr>
          <w:trHeight w:val="216"/>
        </w:trPr>
        <w:tc>
          <w:tcPr>
            <w:tcW w:w="6860" w:type="dxa"/>
            <w:vAlign w:val="bottom"/>
            <w:shd w:val="clear" w:color="auto" w:fill="D5E6F7"/>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4,216</w:t>
            </w:r>
          </w:p>
        </w:tc>
        <w:tc>
          <w:tcPr>
            <w:tcW w:w="2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4,267</w:t>
            </w:r>
          </w:p>
        </w:tc>
        <w:tc>
          <w:tcPr>
            <w:tcW w:w="24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9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4,610</w:t>
            </w:r>
          </w:p>
        </w:tc>
        <w:tc>
          <w:tcPr>
            <w:tcW w:w="120" w:type="dxa"/>
            <w:vAlign w:val="bottom"/>
            <w:shd w:val="clear" w:color="auto" w:fill="D5E6F7"/>
          </w:tcPr>
          <w:p>
            <w:pPr>
              <w:spacing w:after="0"/>
              <w:rPr>
                <w:sz w:val="18"/>
                <w:szCs w:val="18"/>
                <w:color w:val="auto"/>
              </w:rPr>
            </w:pPr>
          </w:p>
        </w:tc>
      </w:tr>
      <w:tr>
        <w:trPr>
          <w:trHeight w:val="216"/>
        </w:trPr>
        <w:tc>
          <w:tcPr>
            <w:tcW w:w="6860" w:type="dxa"/>
            <w:vAlign w:val="bottom"/>
            <w:tcBorders>
              <w:bottom w:val="single" w:sz="8" w:color="D5E6F7"/>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260" w:type="dxa"/>
            <w:vAlign w:val="bottom"/>
            <w:tcBorders>
              <w:bottom w:val="single" w:sz="8" w:color="D5E6F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240" w:type="dxa"/>
            <w:vAlign w:val="bottom"/>
            <w:tcBorders>
              <w:bottom w:val="single" w:sz="8" w:color="D5E6F7"/>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D5E6F7"/>
            </w:tcBorders>
          </w:tcPr>
          <w:p>
            <w:pPr>
              <w:spacing w:after="0"/>
              <w:rPr>
                <w:sz w:val="18"/>
                <w:szCs w:val="18"/>
                <w:color w:val="auto"/>
              </w:rPr>
            </w:pPr>
          </w:p>
        </w:tc>
      </w:tr>
      <w:tr>
        <w:trPr>
          <w:trHeight w:val="209"/>
        </w:trPr>
        <w:tc>
          <w:tcPr>
            <w:tcW w:w="686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12,682</w:t>
            </w:r>
          </w:p>
        </w:tc>
        <w:tc>
          <w:tcPr>
            <w:tcW w:w="26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12,275</w:t>
            </w:r>
          </w:p>
        </w:tc>
        <w:tc>
          <w:tcPr>
            <w:tcW w:w="240" w:type="dxa"/>
            <w:vAlign w:val="bottom"/>
            <w:tcBorders>
              <w:bottom w:val="single" w:sz="8" w:color="D5E6F7"/>
            </w:tcBorders>
            <w:shd w:val="clear" w:color="auto" w:fill="D5E6F7"/>
          </w:tcPr>
          <w:p>
            <w:pPr>
              <w:spacing w:after="0"/>
              <w:rPr>
                <w:sz w:val="18"/>
                <w:szCs w:val="18"/>
                <w:color w:val="auto"/>
              </w:rPr>
            </w:pPr>
          </w:p>
        </w:tc>
        <w:tc>
          <w:tcPr>
            <w:tcW w:w="400" w:type="dxa"/>
            <w:vAlign w:val="bottom"/>
            <w:tcBorders>
              <w:bottom w:val="single" w:sz="8" w:color="auto"/>
            </w:tcBorders>
            <w:shd w:val="clear" w:color="auto" w:fill="D5E6F7"/>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D5E6F7"/>
            </w:tcBorders>
            <w:shd w:val="clear" w:color="auto" w:fill="D5E6F7"/>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income tax benefit related to stock-based compensation expense was zero for all periods presented due to a full valuation allowance on the Company's deferred tax assets (see Note 10: Income Taxes below). As of January 31, 2022, there was $ 19.0 million of unrecognized stock-based compensation expense related to unvested RSUs, stock options and ESPP that will be recognized on a straight-line basis over the remaining weighted-average vesting period of approximately 2.5 years.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and ESPP was estimated using the Black–Scholes model with the following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00" w:type="dxa"/>
            <w:vAlign w:val="bottom"/>
            <w:gridSpan w:val="6"/>
          </w:tcPr>
          <w:p>
            <w:pPr>
              <w:ind w:left="20"/>
              <w:spacing w:after="0"/>
              <w:rPr>
                <w:sz w:val="20"/>
                <w:szCs w:val="20"/>
                <w:color w:val="auto"/>
              </w:rPr>
            </w:pPr>
            <w:r>
              <w:rPr>
                <w:rFonts w:ascii="Arial" w:cs="Arial" w:eastAsia="Arial" w:hAnsi="Arial"/>
                <w:sz w:val="14"/>
                <w:szCs w:val="14"/>
                <w:b w:val="1"/>
                <w:bCs w:val="1"/>
                <w:color w:val="auto"/>
              </w:rPr>
              <w:t>Fiscal Year Ended January 31,</w:t>
            </w:r>
          </w:p>
        </w:tc>
      </w:tr>
      <w:tr>
        <w:trPr>
          <w:trHeight w:val="222"/>
        </w:trPr>
        <w:tc>
          <w:tcPr>
            <w:tcW w:w="6880" w:type="dxa"/>
            <w:vAlign w:val="bottom"/>
          </w:tcPr>
          <w:p>
            <w:pPr>
              <w:spacing w:after="0"/>
              <w:rPr>
                <w:sz w:val="19"/>
                <w:szCs w:val="19"/>
                <w:color w:val="auto"/>
              </w:rPr>
            </w:pPr>
          </w:p>
        </w:tc>
        <w:tc>
          <w:tcPr>
            <w:tcW w:w="1060" w:type="dxa"/>
            <w:vAlign w:val="bottom"/>
            <w:tcBorders>
              <w:top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2022</w:t>
            </w:r>
          </w:p>
        </w:tc>
        <w:tc>
          <w:tcPr>
            <w:tcW w:w="1580" w:type="dxa"/>
            <w:vAlign w:val="bottom"/>
            <w:tcBorders>
              <w:top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r>
      <w:tr>
        <w:trPr>
          <w:trHeight w:val="224"/>
        </w:trPr>
        <w:tc>
          <w:tcPr>
            <w:tcW w:w="688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Stock Options:</w:t>
            </w:r>
          </w:p>
        </w:tc>
        <w:tc>
          <w:tcPr>
            <w:tcW w:w="1060" w:type="dxa"/>
            <w:vAlign w:val="bottom"/>
            <w:tcBorders>
              <w:top w:val="single" w:sz="8" w:color="auto"/>
            </w:tcBorders>
            <w:shd w:val="clear" w:color="auto" w:fill="D5E6F7"/>
          </w:tcPr>
          <w:p>
            <w:pPr>
              <w:spacing w:after="0"/>
              <w:rPr>
                <w:sz w:val="19"/>
                <w:szCs w:val="19"/>
                <w:color w:val="auto"/>
              </w:rPr>
            </w:pPr>
          </w:p>
        </w:tc>
        <w:tc>
          <w:tcPr>
            <w:tcW w:w="120" w:type="dxa"/>
            <w:vAlign w:val="bottom"/>
            <w:tcBorders>
              <w:top w:val="single" w:sz="8" w:color="auto"/>
            </w:tcBorders>
            <w:shd w:val="clear" w:color="auto" w:fill="D5E6F7"/>
          </w:tcPr>
          <w:p>
            <w:pPr>
              <w:spacing w:after="0"/>
              <w:rPr>
                <w:sz w:val="19"/>
                <w:szCs w:val="19"/>
                <w:color w:val="auto"/>
              </w:rPr>
            </w:pPr>
          </w:p>
        </w:tc>
        <w:tc>
          <w:tcPr>
            <w:tcW w:w="260" w:type="dxa"/>
            <w:vAlign w:val="bottom"/>
            <w:tcBorders>
              <w:top w:val="single" w:sz="8" w:color="D5E6F7"/>
            </w:tcBorders>
            <w:shd w:val="clear" w:color="auto" w:fill="D5E6F7"/>
          </w:tcPr>
          <w:p>
            <w:pPr>
              <w:spacing w:after="0"/>
              <w:rPr>
                <w:sz w:val="19"/>
                <w:szCs w:val="19"/>
                <w:color w:val="auto"/>
              </w:rPr>
            </w:pPr>
          </w:p>
        </w:tc>
        <w:tc>
          <w:tcPr>
            <w:tcW w:w="1200" w:type="dxa"/>
            <w:vAlign w:val="bottom"/>
            <w:tcBorders>
              <w:top w:val="single" w:sz="8" w:color="auto"/>
            </w:tcBorders>
            <w:shd w:val="clear" w:color="auto" w:fill="D5E6F7"/>
          </w:tcPr>
          <w:p>
            <w:pPr>
              <w:spacing w:after="0"/>
              <w:rPr>
                <w:sz w:val="19"/>
                <w:szCs w:val="19"/>
                <w:color w:val="auto"/>
              </w:rPr>
            </w:pPr>
          </w:p>
        </w:tc>
        <w:tc>
          <w:tcPr>
            <w:tcW w:w="240" w:type="dxa"/>
            <w:vAlign w:val="bottom"/>
            <w:tcBorders>
              <w:top w:val="single" w:sz="8" w:color="D5E6F7"/>
            </w:tcBorders>
            <w:shd w:val="clear" w:color="auto" w:fill="D5E6F7"/>
          </w:tcPr>
          <w:p>
            <w:pPr>
              <w:spacing w:after="0"/>
              <w:rPr>
                <w:sz w:val="19"/>
                <w:szCs w:val="19"/>
                <w:color w:val="auto"/>
              </w:rPr>
            </w:pPr>
          </w:p>
        </w:tc>
        <w:tc>
          <w:tcPr>
            <w:tcW w:w="1360" w:type="dxa"/>
            <w:vAlign w:val="bottom"/>
            <w:tcBorders>
              <w:top w:val="single" w:sz="8" w:color="auto"/>
            </w:tcBorders>
            <w:shd w:val="clear" w:color="auto" w:fill="D5E6F7"/>
          </w:tcPr>
          <w:p>
            <w:pPr>
              <w:spacing w:after="0"/>
              <w:rPr>
                <w:sz w:val="19"/>
                <w:szCs w:val="19"/>
                <w:color w:val="auto"/>
              </w:rPr>
            </w:pPr>
          </w:p>
        </w:tc>
        <w:tc>
          <w:tcPr>
            <w:tcW w:w="120" w:type="dxa"/>
            <w:vAlign w:val="bottom"/>
            <w:tcBorders>
              <w:top w:val="single" w:sz="8" w:color="D5E6F7"/>
            </w:tcBorders>
            <w:shd w:val="clear" w:color="auto" w:fill="D5E6F7"/>
          </w:tcPr>
          <w:p>
            <w:pPr>
              <w:spacing w:after="0"/>
              <w:rPr>
                <w:sz w:val="19"/>
                <w:szCs w:val="19"/>
                <w:color w:val="auto"/>
              </w:rPr>
            </w:pPr>
          </w:p>
        </w:tc>
      </w:tr>
      <w:tr>
        <w:trPr>
          <w:trHeight w:val="216"/>
        </w:trPr>
        <w:tc>
          <w:tcPr>
            <w:tcW w:w="6880" w:type="dxa"/>
            <w:vAlign w:val="bottom"/>
          </w:tcPr>
          <w:p>
            <w:pPr>
              <w:ind w:left="26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center"/>
              <w:ind w:left="14"/>
              <w:spacing w:after="0"/>
              <w:rPr>
                <w:sz w:val="20"/>
                <w:szCs w:val="20"/>
                <w:color w:val="auto"/>
              </w:rPr>
            </w:pPr>
            <w:r>
              <w:rPr>
                <w:rFonts w:ascii="Arial" w:cs="Arial" w:eastAsia="Arial" w:hAnsi="Arial"/>
                <w:sz w:val="18"/>
                <w:szCs w:val="18"/>
                <w:color w:val="auto"/>
                <w:w w:val="99"/>
              </w:rPr>
              <w:t>51%</w:t>
            </w:r>
          </w:p>
        </w:tc>
        <w:tc>
          <w:tcPr>
            <w:tcW w:w="1580" w:type="dxa"/>
            <w:vAlign w:val="bottom"/>
            <w:gridSpan w:val="3"/>
          </w:tcPr>
          <w:p>
            <w:pPr>
              <w:jc w:val="center"/>
              <w:ind w:left="297"/>
              <w:spacing w:after="0"/>
              <w:rPr>
                <w:sz w:val="20"/>
                <w:szCs w:val="20"/>
                <w:color w:val="auto"/>
              </w:rPr>
            </w:pPr>
            <w:r>
              <w:rPr>
                <w:rFonts w:ascii="Arial" w:cs="Arial" w:eastAsia="Arial" w:hAnsi="Arial"/>
                <w:sz w:val="18"/>
                <w:szCs w:val="18"/>
                <w:color w:val="auto"/>
                <w:w w:val="99"/>
              </w:rPr>
              <w:t>47%</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r>
      <w:tr>
        <w:trPr>
          <w:trHeight w:val="216"/>
        </w:trPr>
        <w:tc>
          <w:tcPr>
            <w:tcW w:w="6880" w:type="dxa"/>
            <w:vAlign w:val="bottom"/>
            <w:shd w:val="clear" w:color="auto" w:fill="D5E6F7"/>
          </w:tcPr>
          <w:p>
            <w:pPr>
              <w:ind w:left="260"/>
              <w:spacing w:after="0"/>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D5E6F7"/>
          </w:tcPr>
          <w:p>
            <w:pPr>
              <w:jc w:val="center"/>
              <w:ind w:left="34"/>
              <w:spacing w:after="0"/>
              <w:rPr>
                <w:sz w:val="20"/>
                <w:szCs w:val="20"/>
                <w:color w:val="auto"/>
              </w:rPr>
            </w:pPr>
            <w:r>
              <w:rPr>
                <w:rFonts w:ascii="Arial" w:cs="Arial" w:eastAsia="Arial" w:hAnsi="Arial"/>
                <w:sz w:val="18"/>
                <w:szCs w:val="18"/>
                <w:color w:val="auto"/>
              </w:rPr>
              <w:t>6.1</w:t>
            </w:r>
          </w:p>
        </w:tc>
        <w:tc>
          <w:tcPr>
            <w:tcW w:w="1580" w:type="dxa"/>
            <w:vAlign w:val="bottom"/>
            <w:gridSpan w:val="3"/>
            <w:shd w:val="clear" w:color="auto" w:fill="D5E6F7"/>
          </w:tcPr>
          <w:p>
            <w:pPr>
              <w:jc w:val="center"/>
              <w:ind w:left="277"/>
              <w:spacing w:after="0"/>
              <w:rPr>
                <w:sz w:val="20"/>
                <w:szCs w:val="20"/>
                <w:color w:val="auto"/>
              </w:rPr>
            </w:pPr>
            <w:r>
              <w:rPr>
                <w:rFonts w:ascii="Arial" w:cs="Arial" w:eastAsia="Arial" w:hAnsi="Arial"/>
                <w:sz w:val="18"/>
                <w:szCs w:val="18"/>
                <w:color w:val="auto"/>
              </w:rPr>
              <w:t>6.1</w:t>
            </w:r>
          </w:p>
        </w:tc>
        <w:tc>
          <w:tcPr>
            <w:tcW w:w="240" w:type="dxa"/>
            <w:vAlign w:val="bottom"/>
            <w:shd w:val="clear" w:color="auto" w:fill="D5E6F7"/>
          </w:tcPr>
          <w:p>
            <w:pPr>
              <w:spacing w:after="0"/>
              <w:rPr>
                <w:sz w:val="18"/>
                <w:szCs w:val="18"/>
                <w:color w:val="auto"/>
              </w:rPr>
            </w:pPr>
          </w:p>
        </w:tc>
        <w:tc>
          <w:tcPr>
            <w:tcW w:w="1360" w:type="dxa"/>
            <w:vAlign w:val="bottom"/>
            <w:shd w:val="clear" w:color="auto" w:fill="D5E6F7"/>
          </w:tcPr>
          <w:p>
            <w:pPr>
              <w:jc w:val="center"/>
              <w:spacing w:after="0"/>
              <w:rPr>
                <w:sz w:val="20"/>
                <w:szCs w:val="20"/>
                <w:color w:val="auto"/>
              </w:rPr>
            </w:pPr>
            <w:r>
              <w:rPr>
                <w:rFonts w:ascii="Arial" w:cs="Arial" w:eastAsia="Arial" w:hAnsi="Arial"/>
                <w:sz w:val="18"/>
                <w:szCs w:val="18"/>
                <w:color w:val="auto"/>
              </w:rPr>
              <w:t>6.1</w:t>
            </w:r>
          </w:p>
        </w:tc>
        <w:tc>
          <w:tcPr>
            <w:tcW w:w="120" w:type="dxa"/>
            <w:vAlign w:val="bottom"/>
            <w:shd w:val="clear" w:color="auto" w:fill="D5E6F7"/>
          </w:tcPr>
          <w:p>
            <w:pPr>
              <w:spacing w:after="0"/>
              <w:rPr>
                <w:sz w:val="18"/>
                <w:szCs w:val="18"/>
                <w:color w:val="auto"/>
              </w:rPr>
            </w:pPr>
          </w:p>
        </w:tc>
      </w:tr>
      <w:tr>
        <w:trPr>
          <w:trHeight w:val="216"/>
        </w:trPr>
        <w:tc>
          <w:tcPr>
            <w:tcW w:w="6880" w:type="dxa"/>
            <w:vAlign w:val="bottom"/>
          </w:tcPr>
          <w:p>
            <w:pPr>
              <w:ind w:left="26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center"/>
              <w:ind w:left="34"/>
              <w:spacing w:after="0"/>
              <w:rPr>
                <w:sz w:val="20"/>
                <w:szCs w:val="20"/>
                <w:color w:val="auto"/>
              </w:rPr>
            </w:pPr>
            <w:r>
              <w:rPr>
                <w:rFonts w:ascii="Arial" w:cs="Arial" w:eastAsia="Arial" w:hAnsi="Arial"/>
                <w:sz w:val="18"/>
                <w:szCs w:val="18"/>
                <w:color w:val="auto"/>
              </w:rPr>
              <w:t>0.9%</w:t>
            </w:r>
          </w:p>
        </w:tc>
        <w:tc>
          <w:tcPr>
            <w:tcW w:w="1580" w:type="dxa"/>
            <w:vAlign w:val="bottom"/>
            <w:gridSpan w:val="3"/>
          </w:tcPr>
          <w:p>
            <w:pPr>
              <w:jc w:val="center"/>
              <w:ind w:left="277"/>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r>
      <w:tr>
        <w:trPr>
          <w:trHeight w:val="216"/>
        </w:trPr>
        <w:tc>
          <w:tcPr>
            <w:tcW w:w="6880" w:type="dxa"/>
            <w:vAlign w:val="bottom"/>
            <w:shd w:val="clear" w:color="auto" w:fill="D5E6F7"/>
          </w:tcPr>
          <w:p>
            <w:pPr>
              <w:ind w:left="26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D5E6F7"/>
          </w:tcPr>
          <w:p>
            <w:pPr>
              <w:ind w:left="4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1440" w:type="dxa"/>
            <w:vAlign w:val="bottom"/>
            <w:gridSpan w:val="2"/>
            <w:shd w:val="clear" w:color="auto" w:fill="D5E6F7"/>
          </w:tcPr>
          <w:p>
            <w:pPr>
              <w:ind w:left="46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D5E6F7"/>
          </w:tcPr>
          <w:p>
            <w:pPr>
              <w:ind w:left="540"/>
              <w:spacing w:after="0"/>
              <w:rPr>
                <w:sz w:val="20"/>
                <w:szCs w:val="20"/>
                <w:color w:val="auto"/>
              </w:rPr>
            </w:pPr>
            <w:r>
              <w:rPr>
                <w:rFonts w:ascii="Arial" w:cs="Arial" w:eastAsia="Arial" w:hAnsi="Arial"/>
                <w:sz w:val="18"/>
                <w:szCs w:val="18"/>
                <w:color w:val="auto"/>
              </w:rPr>
              <w:t>NA</w:t>
            </w:r>
          </w:p>
        </w:tc>
      </w:tr>
      <w:tr>
        <w:trPr>
          <w:trHeight w:val="445"/>
        </w:trPr>
        <w:tc>
          <w:tcPr>
            <w:tcW w:w="6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00" w:type="dxa"/>
            <w:vAlign w:val="bottom"/>
            <w:gridSpan w:val="6"/>
          </w:tcPr>
          <w:p>
            <w:pPr>
              <w:ind w:left="20"/>
              <w:spacing w:after="0"/>
              <w:rPr>
                <w:sz w:val="20"/>
                <w:szCs w:val="20"/>
                <w:color w:val="auto"/>
              </w:rPr>
            </w:pPr>
            <w:r>
              <w:rPr>
                <w:rFonts w:ascii="Arial" w:cs="Arial" w:eastAsia="Arial" w:hAnsi="Arial"/>
                <w:sz w:val="14"/>
                <w:szCs w:val="14"/>
                <w:b w:val="1"/>
                <w:bCs w:val="1"/>
                <w:color w:val="auto"/>
              </w:rPr>
              <w:t>Fiscal Year Ended January 31,</w:t>
            </w:r>
          </w:p>
        </w:tc>
      </w:tr>
      <w:tr>
        <w:trPr>
          <w:trHeight w:val="209"/>
        </w:trPr>
        <w:tc>
          <w:tcPr>
            <w:tcW w:w="6880" w:type="dxa"/>
            <w:vAlign w:val="bottom"/>
          </w:tcPr>
          <w:p>
            <w:pPr>
              <w:spacing w:after="0"/>
              <w:rPr>
                <w:sz w:val="18"/>
                <w:szCs w:val="18"/>
                <w:color w:val="auto"/>
              </w:rPr>
            </w:pPr>
          </w:p>
        </w:tc>
        <w:tc>
          <w:tcPr>
            <w:tcW w:w="1060" w:type="dxa"/>
            <w:vAlign w:val="bottom"/>
            <w:tcBorders>
              <w:top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2022</w:t>
            </w:r>
          </w:p>
        </w:tc>
        <w:tc>
          <w:tcPr>
            <w:tcW w:w="1580" w:type="dxa"/>
            <w:vAlign w:val="bottom"/>
            <w:tcBorders>
              <w:top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r>
      <w:tr>
        <w:trPr>
          <w:trHeight w:val="224"/>
        </w:trPr>
        <w:tc>
          <w:tcPr>
            <w:tcW w:w="688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ESPP:</w:t>
            </w:r>
          </w:p>
        </w:tc>
        <w:tc>
          <w:tcPr>
            <w:tcW w:w="1060" w:type="dxa"/>
            <w:vAlign w:val="bottom"/>
            <w:tcBorders>
              <w:top w:val="single" w:sz="8" w:color="auto"/>
            </w:tcBorders>
            <w:shd w:val="clear" w:color="auto" w:fill="D5E6F7"/>
          </w:tcPr>
          <w:p>
            <w:pPr>
              <w:spacing w:after="0"/>
              <w:rPr>
                <w:sz w:val="19"/>
                <w:szCs w:val="19"/>
                <w:color w:val="auto"/>
              </w:rPr>
            </w:pPr>
          </w:p>
        </w:tc>
        <w:tc>
          <w:tcPr>
            <w:tcW w:w="120" w:type="dxa"/>
            <w:vAlign w:val="bottom"/>
            <w:tcBorders>
              <w:top w:val="single" w:sz="8" w:color="auto"/>
            </w:tcBorders>
            <w:shd w:val="clear" w:color="auto" w:fill="D5E6F7"/>
          </w:tcPr>
          <w:p>
            <w:pPr>
              <w:spacing w:after="0"/>
              <w:rPr>
                <w:sz w:val="19"/>
                <w:szCs w:val="19"/>
                <w:color w:val="auto"/>
              </w:rPr>
            </w:pPr>
          </w:p>
        </w:tc>
        <w:tc>
          <w:tcPr>
            <w:tcW w:w="260" w:type="dxa"/>
            <w:vAlign w:val="bottom"/>
            <w:tcBorders>
              <w:top w:val="single" w:sz="8" w:color="D5E6F7"/>
            </w:tcBorders>
            <w:shd w:val="clear" w:color="auto" w:fill="D5E6F7"/>
          </w:tcPr>
          <w:p>
            <w:pPr>
              <w:spacing w:after="0"/>
              <w:rPr>
                <w:sz w:val="19"/>
                <w:szCs w:val="19"/>
                <w:color w:val="auto"/>
              </w:rPr>
            </w:pPr>
          </w:p>
        </w:tc>
        <w:tc>
          <w:tcPr>
            <w:tcW w:w="1200" w:type="dxa"/>
            <w:vAlign w:val="bottom"/>
            <w:tcBorders>
              <w:top w:val="single" w:sz="8" w:color="auto"/>
            </w:tcBorders>
            <w:shd w:val="clear" w:color="auto" w:fill="D5E6F7"/>
          </w:tcPr>
          <w:p>
            <w:pPr>
              <w:spacing w:after="0"/>
              <w:rPr>
                <w:sz w:val="19"/>
                <w:szCs w:val="19"/>
                <w:color w:val="auto"/>
              </w:rPr>
            </w:pPr>
          </w:p>
        </w:tc>
        <w:tc>
          <w:tcPr>
            <w:tcW w:w="240" w:type="dxa"/>
            <w:vAlign w:val="bottom"/>
            <w:tcBorders>
              <w:top w:val="single" w:sz="8" w:color="D5E6F7"/>
            </w:tcBorders>
            <w:shd w:val="clear" w:color="auto" w:fill="D5E6F7"/>
          </w:tcPr>
          <w:p>
            <w:pPr>
              <w:spacing w:after="0"/>
              <w:rPr>
                <w:sz w:val="19"/>
                <w:szCs w:val="19"/>
                <w:color w:val="auto"/>
              </w:rPr>
            </w:pPr>
          </w:p>
        </w:tc>
        <w:tc>
          <w:tcPr>
            <w:tcW w:w="1360" w:type="dxa"/>
            <w:vAlign w:val="bottom"/>
            <w:tcBorders>
              <w:top w:val="single" w:sz="8" w:color="auto"/>
            </w:tcBorders>
            <w:shd w:val="clear" w:color="auto" w:fill="D5E6F7"/>
          </w:tcPr>
          <w:p>
            <w:pPr>
              <w:spacing w:after="0"/>
              <w:rPr>
                <w:sz w:val="19"/>
                <w:szCs w:val="19"/>
                <w:color w:val="auto"/>
              </w:rPr>
            </w:pPr>
          </w:p>
        </w:tc>
        <w:tc>
          <w:tcPr>
            <w:tcW w:w="120" w:type="dxa"/>
            <w:vAlign w:val="bottom"/>
            <w:tcBorders>
              <w:top w:val="single" w:sz="8" w:color="D5E6F7"/>
            </w:tcBorders>
            <w:shd w:val="clear" w:color="auto" w:fill="D5E6F7"/>
          </w:tcPr>
          <w:p>
            <w:pPr>
              <w:spacing w:after="0"/>
              <w:rPr>
                <w:sz w:val="19"/>
                <w:szCs w:val="19"/>
                <w:color w:val="auto"/>
              </w:rPr>
            </w:pPr>
          </w:p>
        </w:tc>
      </w:tr>
      <w:tr>
        <w:trPr>
          <w:trHeight w:val="216"/>
        </w:trPr>
        <w:tc>
          <w:tcPr>
            <w:tcW w:w="6880" w:type="dxa"/>
            <w:vAlign w:val="bottom"/>
          </w:tcPr>
          <w:p>
            <w:pPr>
              <w:ind w:left="26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center"/>
              <w:ind w:left="34"/>
              <w:spacing w:after="0"/>
              <w:rPr>
                <w:sz w:val="20"/>
                <w:szCs w:val="20"/>
                <w:color w:val="auto"/>
              </w:rPr>
            </w:pPr>
            <w:r>
              <w:rPr>
                <w:rFonts w:ascii="Arial" w:cs="Arial" w:eastAsia="Arial" w:hAnsi="Arial"/>
                <w:sz w:val="18"/>
                <w:szCs w:val="18"/>
                <w:color w:val="auto"/>
                <w:w w:val="99"/>
              </w:rPr>
              <w:t>41%-58%</w:t>
            </w:r>
          </w:p>
        </w:tc>
        <w:tc>
          <w:tcPr>
            <w:tcW w:w="1580" w:type="dxa"/>
            <w:vAlign w:val="bottom"/>
            <w:gridSpan w:val="3"/>
          </w:tcPr>
          <w:p>
            <w:pPr>
              <w:jc w:val="center"/>
              <w:ind w:left="277"/>
              <w:spacing w:after="0"/>
              <w:rPr>
                <w:sz w:val="20"/>
                <w:szCs w:val="20"/>
                <w:color w:val="auto"/>
              </w:rPr>
            </w:pPr>
            <w:r>
              <w:rPr>
                <w:rFonts w:ascii="Arial" w:cs="Arial" w:eastAsia="Arial" w:hAnsi="Arial"/>
                <w:sz w:val="18"/>
                <w:szCs w:val="18"/>
                <w:color w:val="auto"/>
                <w:w w:val="99"/>
              </w:rPr>
              <w:t>46%-83%</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40%-51%</w:t>
            </w:r>
          </w:p>
        </w:tc>
        <w:tc>
          <w:tcPr>
            <w:tcW w:w="120" w:type="dxa"/>
            <w:vAlign w:val="bottom"/>
          </w:tcPr>
          <w:p>
            <w:pPr>
              <w:spacing w:after="0"/>
              <w:rPr>
                <w:sz w:val="18"/>
                <w:szCs w:val="18"/>
                <w:color w:val="auto"/>
              </w:rPr>
            </w:pPr>
          </w:p>
        </w:tc>
      </w:tr>
      <w:tr>
        <w:trPr>
          <w:trHeight w:val="216"/>
        </w:trPr>
        <w:tc>
          <w:tcPr>
            <w:tcW w:w="6880" w:type="dxa"/>
            <w:vAlign w:val="bottom"/>
            <w:shd w:val="clear" w:color="auto" w:fill="D5E6F7"/>
          </w:tcPr>
          <w:p>
            <w:pPr>
              <w:ind w:left="260"/>
              <w:spacing w:after="0"/>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D5E6F7"/>
          </w:tcPr>
          <w:p>
            <w:pPr>
              <w:jc w:val="center"/>
              <w:ind w:left="14"/>
              <w:spacing w:after="0"/>
              <w:rPr>
                <w:sz w:val="20"/>
                <w:szCs w:val="20"/>
                <w:color w:val="auto"/>
              </w:rPr>
            </w:pPr>
            <w:r>
              <w:rPr>
                <w:rFonts w:ascii="Arial" w:cs="Arial" w:eastAsia="Arial" w:hAnsi="Arial"/>
                <w:sz w:val="18"/>
                <w:szCs w:val="18"/>
                <w:color w:val="auto"/>
                <w:w w:val="99"/>
              </w:rPr>
              <w:t>0.5-2.0</w:t>
            </w:r>
          </w:p>
        </w:tc>
        <w:tc>
          <w:tcPr>
            <w:tcW w:w="1580" w:type="dxa"/>
            <w:vAlign w:val="bottom"/>
            <w:gridSpan w:val="3"/>
            <w:shd w:val="clear" w:color="auto" w:fill="D5E6F7"/>
          </w:tcPr>
          <w:p>
            <w:pPr>
              <w:jc w:val="center"/>
              <w:ind w:left="297"/>
              <w:spacing w:after="0"/>
              <w:rPr>
                <w:sz w:val="20"/>
                <w:szCs w:val="20"/>
                <w:color w:val="auto"/>
              </w:rPr>
            </w:pPr>
            <w:r>
              <w:rPr>
                <w:rFonts w:ascii="Arial" w:cs="Arial" w:eastAsia="Arial" w:hAnsi="Arial"/>
                <w:sz w:val="18"/>
                <w:szCs w:val="18"/>
                <w:color w:val="auto"/>
                <w:w w:val="99"/>
              </w:rPr>
              <w:t>0.5-2.0</w:t>
            </w:r>
          </w:p>
        </w:tc>
        <w:tc>
          <w:tcPr>
            <w:tcW w:w="240" w:type="dxa"/>
            <w:vAlign w:val="bottom"/>
            <w:shd w:val="clear" w:color="auto" w:fill="D5E6F7"/>
          </w:tcPr>
          <w:p>
            <w:pPr>
              <w:spacing w:after="0"/>
              <w:rPr>
                <w:sz w:val="18"/>
                <w:szCs w:val="18"/>
                <w:color w:val="auto"/>
              </w:rPr>
            </w:pPr>
          </w:p>
        </w:tc>
        <w:tc>
          <w:tcPr>
            <w:tcW w:w="1360" w:type="dxa"/>
            <w:vAlign w:val="bottom"/>
            <w:shd w:val="clear" w:color="auto" w:fill="D5E6F7"/>
          </w:tcPr>
          <w:p>
            <w:pPr>
              <w:jc w:val="center"/>
              <w:spacing w:after="0"/>
              <w:rPr>
                <w:sz w:val="20"/>
                <w:szCs w:val="20"/>
                <w:color w:val="auto"/>
              </w:rPr>
            </w:pPr>
            <w:r>
              <w:rPr>
                <w:rFonts w:ascii="Arial" w:cs="Arial" w:eastAsia="Arial" w:hAnsi="Arial"/>
                <w:sz w:val="18"/>
                <w:szCs w:val="18"/>
                <w:color w:val="auto"/>
              </w:rPr>
              <w:t>0.5-2.0</w:t>
            </w:r>
          </w:p>
        </w:tc>
        <w:tc>
          <w:tcPr>
            <w:tcW w:w="120" w:type="dxa"/>
            <w:vAlign w:val="bottom"/>
            <w:shd w:val="clear" w:color="auto" w:fill="D5E6F7"/>
          </w:tcPr>
          <w:p>
            <w:pPr>
              <w:spacing w:after="0"/>
              <w:rPr>
                <w:sz w:val="18"/>
                <w:szCs w:val="18"/>
                <w:color w:val="auto"/>
              </w:rPr>
            </w:pPr>
          </w:p>
        </w:tc>
      </w:tr>
      <w:tr>
        <w:trPr>
          <w:trHeight w:val="216"/>
        </w:trPr>
        <w:tc>
          <w:tcPr>
            <w:tcW w:w="6880" w:type="dxa"/>
            <w:vAlign w:val="bottom"/>
          </w:tcPr>
          <w:p>
            <w:pPr>
              <w:ind w:left="26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center"/>
              <w:ind w:left="14"/>
              <w:spacing w:after="0"/>
              <w:rPr>
                <w:sz w:val="20"/>
                <w:szCs w:val="20"/>
                <w:color w:val="auto"/>
              </w:rPr>
            </w:pPr>
            <w:r>
              <w:rPr>
                <w:rFonts w:ascii="Arial" w:cs="Arial" w:eastAsia="Arial" w:hAnsi="Arial"/>
                <w:sz w:val="18"/>
                <w:szCs w:val="18"/>
                <w:color w:val="auto"/>
                <w:w w:val="99"/>
              </w:rPr>
              <w:t>0.1%-0.2%</w:t>
            </w:r>
          </w:p>
        </w:tc>
        <w:tc>
          <w:tcPr>
            <w:tcW w:w="1580" w:type="dxa"/>
            <w:vAlign w:val="bottom"/>
            <w:gridSpan w:val="3"/>
          </w:tcPr>
          <w:p>
            <w:pPr>
              <w:jc w:val="center"/>
              <w:ind w:left="297"/>
              <w:spacing w:after="0"/>
              <w:rPr>
                <w:sz w:val="20"/>
                <w:szCs w:val="20"/>
                <w:color w:val="auto"/>
              </w:rPr>
            </w:pPr>
            <w:r>
              <w:rPr>
                <w:rFonts w:ascii="Arial" w:cs="Arial" w:eastAsia="Arial" w:hAnsi="Arial"/>
                <w:sz w:val="18"/>
                <w:szCs w:val="18"/>
                <w:color w:val="auto"/>
                <w:w w:val="99"/>
              </w:rPr>
              <w:t>0.1%-0.4%</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1.7%-2.5%</w:t>
            </w:r>
          </w:p>
        </w:tc>
        <w:tc>
          <w:tcPr>
            <w:tcW w:w="120" w:type="dxa"/>
            <w:vAlign w:val="bottom"/>
          </w:tcPr>
          <w:p>
            <w:pPr>
              <w:spacing w:after="0"/>
              <w:rPr>
                <w:sz w:val="18"/>
                <w:szCs w:val="18"/>
                <w:color w:val="auto"/>
              </w:rPr>
            </w:pPr>
          </w:p>
        </w:tc>
      </w:tr>
      <w:tr>
        <w:trPr>
          <w:trHeight w:val="216"/>
        </w:trPr>
        <w:tc>
          <w:tcPr>
            <w:tcW w:w="6880" w:type="dxa"/>
            <w:vAlign w:val="bottom"/>
            <w:shd w:val="clear" w:color="auto" w:fill="D5E6F7"/>
          </w:tcPr>
          <w:p>
            <w:pPr>
              <w:ind w:left="26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D5E6F7"/>
          </w:tcPr>
          <w:p>
            <w:pPr>
              <w:ind w:left="4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1440" w:type="dxa"/>
            <w:vAlign w:val="bottom"/>
            <w:gridSpan w:val="2"/>
            <w:shd w:val="clear" w:color="auto" w:fill="D5E6F7"/>
          </w:tcPr>
          <w:p>
            <w:pPr>
              <w:ind w:left="46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D5E6F7"/>
          </w:tcPr>
          <w:p>
            <w:pPr>
              <w:ind w:left="540"/>
              <w:spacing w:after="0"/>
              <w:rPr>
                <w:sz w:val="20"/>
                <w:szCs w:val="20"/>
                <w:color w:val="auto"/>
              </w:rPr>
            </w:pPr>
            <w:r>
              <w:rPr>
                <w:rFonts w:ascii="Arial" w:cs="Arial" w:eastAsia="Arial" w:hAnsi="Arial"/>
                <w:sz w:val="18"/>
                <w:szCs w:val="18"/>
                <w:color w:val="auto"/>
              </w:rPr>
              <w:t>NA</w:t>
            </w:r>
          </w:p>
        </w:tc>
      </w:tr>
    </w:tbl>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expected term of options granted to employees is based on the simplified method as the Company does not have sufficient historical exercise data, and the expected term of the ESPP is based on the contractual term. For fiscal 2022, expected volatility is derived from the average historical volatility of the Company’s own common stock. In prior fiscal years, expected volatility was derived from a combination of the average historical volatility of the Company’s own common stock and a group of comparable publicly traded companies. The risk-free interest rate is based on the yields of U.S. Treasury securities with maturities similar to the expected term.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9" w:name="page80"/>
    <w:bookmarkEnd w:id="79"/>
    <w:p>
      <w:pPr>
        <w:spacing w:after="0"/>
        <w:rPr>
          <w:sz w:val="20"/>
          <w:szCs w:val="20"/>
          <w:color w:val="auto"/>
        </w:rPr>
      </w:pPr>
      <w:r>
        <w:rPr>
          <w:rFonts w:ascii="Arial" w:cs="Arial" w:eastAsia="Arial" w:hAnsi="Arial"/>
          <w:sz w:val="25"/>
          <w:szCs w:val="25"/>
          <w:b w:val="1"/>
          <w:bCs w:val="1"/>
          <w:color w:val="003A5D"/>
        </w:rPr>
        <w:t>Note 10: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 consisted of the following components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4100" w:type="dxa"/>
            <w:vAlign w:val="bottom"/>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11"/>
        </w:trPr>
        <w:tc>
          <w:tcPr>
            <w:tcW w:w="410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United States</w:t>
            </w:r>
          </w:p>
        </w:tc>
        <w:tc>
          <w:tcPr>
            <w:tcW w:w="1920" w:type="dxa"/>
            <w:vAlign w:val="bottom"/>
            <w:tcBorders>
              <w:top w:val="single" w:sz="8" w:color="D5E6F7"/>
            </w:tcBorders>
            <w:shd w:val="clear" w:color="auto" w:fill="D5E6F7"/>
          </w:tcPr>
          <w:p>
            <w:pPr>
              <w:spacing w:after="0"/>
              <w:rPr>
                <w:sz w:val="18"/>
                <w:szCs w:val="18"/>
                <w:color w:val="auto"/>
              </w:rPr>
            </w:pPr>
          </w:p>
        </w:tc>
        <w:tc>
          <w:tcPr>
            <w:tcW w:w="960" w:type="dxa"/>
            <w:vAlign w:val="bottom"/>
            <w:tcBorders>
              <w:top w:val="single" w:sz="8" w:color="auto"/>
            </w:tcBorders>
            <w:shd w:val="clear" w:color="auto" w:fill="D5E6F7"/>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1,340</w:t>
            </w:r>
          </w:p>
        </w:tc>
        <w:tc>
          <w:tcPr>
            <w:tcW w:w="280" w:type="dxa"/>
            <w:vAlign w:val="bottom"/>
            <w:tcBorders>
              <w:top w:val="single" w:sz="8" w:color="D5E6F7"/>
            </w:tcBorders>
            <w:shd w:val="clear" w:color="auto" w:fill="D5E6F7"/>
          </w:tcPr>
          <w:p>
            <w:pPr>
              <w:spacing w:after="0"/>
              <w:rPr>
                <w:sz w:val="18"/>
                <w:szCs w:val="18"/>
                <w:color w:val="auto"/>
              </w:rPr>
            </w:pPr>
          </w:p>
        </w:tc>
        <w:tc>
          <w:tcPr>
            <w:tcW w:w="340" w:type="dxa"/>
            <w:vAlign w:val="bottom"/>
            <w:tcBorders>
              <w:top w:val="single" w:sz="8" w:color="auto"/>
            </w:tcBorders>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top w:val="single" w:sz="8" w:color="D5E6F7"/>
            </w:tcBorders>
            <w:shd w:val="clear" w:color="auto" w:fill="D5E6F7"/>
          </w:tcPr>
          <w:p>
            <w:pPr>
              <w:jc w:val="right"/>
              <w:ind w:right="12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D5E6F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(17,051)</w:t>
            </w:r>
          </w:p>
        </w:tc>
        <w:tc>
          <w:tcPr>
            <w:tcW w:w="100" w:type="dxa"/>
            <w:vAlign w:val="bottom"/>
            <w:tcBorders>
              <w:top w:val="single" w:sz="8" w:color="D5E6F7"/>
            </w:tcBorders>
            <w:shd w:val="clear" w:color="auto" w:fill="D5E6F7"/>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(3,091)</w:t>
            </w:r>
          </w:p>
        </w:tc>
        <w:tc>
          <w:tcPr>
            <w:tcW w:w="3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(2,236)</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(1,880)</w:t>
            </w:r>
          </w:p>
        </w:tc>
      </w:tr>
      <w:tr>
        <w:trPr>
          <w:trHeight w:val="209"/>
        </w:trPr>
        <w:tc>
          <w:tcPr>
            <w:tcW w:w="4100" w:type="dxa"/>
            <w:vAlign w:val="bottom"/>
            <w:tcBorders>
              <w:top w:val="single" w:sz="8" w:color="D5E6F7"/>
              <w:bottom w:val="single" w:sz="8" w:color="D5E6F7"/>
            </w:tcBorders>
            <w:shd w:val="clear" w:color="auto" w:fill="D5E6F7"/>
          </w:tcPr>
          <w:p>
            <w:pPr>
              <w:ind w:left="140"/>
              <w:spacing w:after="0"/>
              <w:rPr>
                <w:sz w:val="20"/>
                <w:szCs w:val="20"/>
                <w:color w:val="auto"/>
              </w:rPr>
            </w:pPr>
            <w:r>
              <w:rPr>
                <w:rFonts w:ascii="Arial" w:cs="Arial" w:eastAsia="Arial" w:hAnsi="Arial"/>
                <w:sz w:val="18"/>
                <w:szCs w:val="18"/>
                <w:color w:val="auto"/>
              </w:rPr>
              <w:t>Loss before income taxes</w:t>
            </w:r>
          </w:p>
        </w:tc>
        <w:tc>
          <w:tcPr>
            <w:tcW w:w="1920" w:type="dxa"/>
            <w:vAlign w:val="bottom"/>
            <w:tcBorders>
              <w:top w:val="single" w:sz="8" w:color="D5E6F7"/>
              <w:bottom w:val="single" w:sz="8" w:color="D5E6F7"/>
            </w:tcBorders>
            <w:shd w:val="clear" w:color="auto" w:fill="D5E6F7"/>
          </w:tcPr>
          <w:p>
            <w:pPr>
              <w:spacing w:after="0"/>
              <w:rPr>
                <w:sz w:val="18"/>
                <w:szCs w:val="18"/>
                <w:color w:val="auto"/>
              </w:rPr>
            </w:pPr>
          </w:p>
        </w:tc>
        <w:tc>
          <w:tcPr>
            <w:tcW w:w="960" w:type="dxa"/>
            <w:vAlign w:val="bottom"/>
            <w:tcBorders>
              <w:top w:val="single" w:sz="8" w:color="auto"/>
              <w:bottom w:val="single" w:sz="8" w:color="auto"/>
            </w:tcBorders>
            <w:shd w:val="clear" w:color="auto" w:fill="D5E6F7"/>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94"/>
              </w:rPr>
              <w:t>(1,751)</w:t>
            </w:r>
          </w:p>
        </w:tc>
        <w:tc>
          <w:tcPr>
            <w:tcW w:w="280" w:type="dxa"/>
            <w:vAlign w:val="bottom"/>
            <w:tcBorders>
              <w:top w:val="single" w:sz="8" w:color="D5E6F7"/>
              <w:bottom w:val="single" w:sz="8" w:color="D5E6F7"/>
            </w:tcBorders>
            <w:shd w:val="clear" w:color="auto" w:fill="D5E6F7"/>
          </w:tcPr>
          <w:p>
            <w:pPr>
              <w:spacing w:after="0"/>
              <w:rPr>
                <w:sz w:val="18"/>
                <w:szCs w:val="18"/>
                <w:color w:val="auto"/>
              </w:rPr>
            </w:pPr>
          </w:p>
        </w:tc>
        <w:tc>
          <w:tcPr>
            <w:tcW w:w="340" w:type="dxa"/>
            <w:vAlign w:val="bottom"/>
            <w:tcBorders>
              <w:top w:val="single" w:sz="8" w:color="auto"/>
              <w:bottom w:val="single" w:sz="8" w:color="auto"/>
            </w:tcBorders>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(2,356)</w:t>
            </w:r>
          </w:p>
        </w:tc>
        <w:tc>
          <w:tcPr>
            <w:tcW w:w="260" w:type="dxa"/>
            <w:vAlign w:val="bottom"/>
            <w:tcBorders>
              <w:top w:val="single" w:sz="8" w:color="D5E6F7"/>
              <w:bottom w:val="single" w:sz="8" w:color="D5E6F7"/>
            </w:tcBorders>
            <w:shd w:val="clear" w:color="auto" w:fill="D5E6F7"/>
          </w:tcPr>
          <w:p>
            <w:pPr>
              <w:spacing w:after="0"/>
              <w:rPr>
                <w:sz w:val="18"/>
                <w:szCs w:val="18"/>
                <w:color w:val="auto"/>
              </w:rPr>
            </w:pPr>
          </w:p>
        </w:tc>
        <w:tc>
          <w:tcPr>
            <w:tcW w:w="360" w:type="dxa"/>
            <w:vAlign w:val="bottom"/>
            <w:tcBorders>
              <w:top w:val="single" w:sz="8" w:color="auto"/>
              <w:bottom w:val="single" w:sz="8" w:color="auto"/>
            </w:tcBorders>
            <w:shd w:val="clear" w:color="auto" w:fill="D5E6F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Income tax provision (benefit) differed from the amount computed by applying the U.S. federal income tax rate to pre-tax loss as a result of the following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Fiscal Year Ended January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0"/>
        </w:trPr>
        <w:tc>
          <w:tcPr>
            <w:tcW w:w="4060" w:type="dxa"/>
            <w:vAlign w:val="bottom"/>
            <w:tcBorders>
              <w:bottom w:val="single" w:sz="8" w:color="D5E6F7"/>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5E6F7"/>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Rate</w:t>
            </w:r>
          </w:p>
        </w:tc>
        <w:tc>
          <w:tcPr>
            <w:tcW w:w="340" w:type="dxa"/>
            <w:vAlign w:val="bottom"/>
            <w:tcBorders>
              <w:bottom w:val="single" w:sz="8" w:color="D5E6F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5E6F7"/>
            </w:tcBorders>
          </w:tcPr>
          <w:p>
            <w:pPr>
              <w:spacing w:after="0"/>
              <w:rPr>
                <w:sz w:val="18"/>
                <w:szCs w:val="18"/>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D5E6F7"/>
            </w:tcBorders>
          </w:tcPr>
          <w:p>
            <w:pPr>
              <w:spacing w:after="0"/>
              <w:rPr>
                <w:sz w:val="18"/>
                <w:szCs w:val="18"/>
                <w:color w:val="auto"/>
              </w:rPr>
            </w:pPr>
          </w:p>
        </w:tc>
        <w:tc>
          <w:tcPr>
            <w:tcW w:w="80" w:type="dxa"/>
            <w:vAlign w:val="bottom"/>
            <w:tcBorders>
              <w:bottom w:val="single" w:sz="8" w:color="D5E6F7"/>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D5E6F7"/>
            </w:tcBorders>
          </w:tcPr>
          <w:p>
            <w:pPr>
              <w:spacing w:after="0"/>
              <w:rPr>
                <w:sz w:val="18"/>
                <w:szCs w:val="18"/>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Rate</w:t>
            </w:r>
          </w:p>
        </w:tc>
        <w:tc>
          <w:tcPr>
            <w:tcW w:w="240" w:type="dxa"/>
            <w:vAlign w:val="bottom"/>
            <w:tcBorders>
              <w:bottom w:val="single" w:sz="8" w:color="D5E6F7"/>
            </w:tcBorders>
          </w:tcPr>
          <w:p>
            <w:pPr>
              <w:spacing w:after="0"/>
              <w:rPr>
                <w:sz w:val="18"/>
                <w:szCs w:val="18"/>
                <w:color w:val="auto"/>
              </w:rPr>
            </w:pPr>
          </w:p>
        </w:tc>
      </w:tr>
      <w:tr>
        <w:trPr>
          <w:trHeight w:val="209"/>
        </w:trPr>
        <w:tc>
          <w:tcPr>
            <w:tcW w:w="4060" w:type="dxa"/>
            <w:vAlign w:val="bottom"/>
            <w:shd w:val="clear" w:color="auto" w:fill="D5E6F7"/>
          </w:tcPr>
          <w:p>
            <w:pPr>
              <w:spacing w:after="0"/>
              <w:rPr>
                <w:sz w:val="20"/>
                <w:szCs w:val="20"/>
                <w:color w:val="auto"/>
              </w:rPr>
            </w:pPr>
            <w:r>
              <w:rPr>
                <w:rFonts w:ascii="Arial" w:cs="Arial" w:eastAsia="Arial" w:hAnsi="Arial"/>
                <w:sz w:val="18"/>
                <w:szCs w:val="18"/>
                <w:color w:val="auto"/>
              </w:rPr>
              <w:t>Federal tax at statutory rate</w:t>
            </w:r>
          </w:p>
        </w:tc>
        <w:tc>
          <w:tcPr>
            <w:tcW w:w="22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D5E6F7"/>
          </w:tcPr>
          <w:p>
            <w:pPr>
              <w:spacing w:after="0"/>
              <w:rPr>
                <w:sz w:val="18"/>
                <w:szCs w:val="18"/>
                <w:color w:val="auto"/>
              </w:rPr>
            </w:pPr>
          </w:p>
        </w:tc>
        <w:tc>
          <w:tcPr>
            <w:tcW w:w="1340" w:type="dxa"/>
            <w:vAlign w:val="bottom"/>
            <w:gridSpan w:val="2"/>
            <w:shd w:val="clear" w:color="auto" w:fill="D5E6F7"/>
          </w:tcPr>
          <w:p>
            <w:pPr>
              <w:jc w:val="right"/>
              <w:ind w:right="108"/>
              <w:spacing w:after="0"/>
              <w:rPr>
                <w:sz w:val="20"/>
                <w:szCs w:val="20"/>
                <w:color w:val="auto"/>
              </w:rPr>
            </w:pPr>
            <w:r>
              <w:rPr>
                <w:rFonts w:ascii="Arial" w:cs="Arial" w:eastAsia="Arial" w:hAnsi="Arial"/>
                <w:sz w:val="18"/>
                <w:szCs w:val="18"/>
                <w:color w:val="auto"/>
              </w:rPr>
              <w:t>21%</w:t>
            </w:r>
          </w:p>
        </w:tc>
        <w:tc>
          <w:tcPr>
            <w:tcW w:w="2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D5E6F7"/>
          </w:tcPr>
          <w:p>
            <w:pPr>
              <w:spacing w:after="0"/>
              <w:rPr>
                <w:sz w:val="18"/>
                <w:szCs w:val="18"/>
                <w:color w:val="auto"/>
              </w:rPr>
            </w:pPr>
          </w:p>
        </w:tc>
        <w:tc>
          <w:tcPr>
            <w:tcW w:w="1040" w:type="dxa"/>
            <w:vAlign w:val="bottom"/>
            <w:gridSpan w:val="2"/>
            <w:shd w:val="clear" w:color="auto" w:fill="D5E6F7"/>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D5E6F7"/>
          </w:tcPr>
          <w:p>
            <w:pPr>
              <w:spacing w:after="0"/>
              <w:rPr>
                <w:sz w:val="18"/>
                <w:szCs w:val="18"/>
                <w:color w:val="auto"/>
              </w:rPr>
            </w:pPr>
          </w:p>
        </w:tc>
        <w:tc>
          <w:tcPr>
            <w:tcW w:w="22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(3,975)</w:t>
            </w:r>
          </w:p>
        </w:tc>
        <w:tc>
          <w:tcPr>
            <w:tcW w:w="220" w:type="dxa"/>
            <w:vAlign w:val="bottom"/>
            <w:shd w:val="clear" w:color="auto" w:fill="D5E6F7"/>
          </w:tcPr>
          <w:p>
            <w:pPr>
              <w:spacing w:after="0"/>
              <w:rPr>
                <w:sz w:val="18"/>
                <w:szCs w:val="18"/>
                <w:color w:val="auto"/>
              </w:rPr>
            </w:pPr>
          </w:p>
        </w:tc>
        <w:tc>
          <w:tcPr>
            <w:tcW w:w="9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D5E6F7"/>
          </w:tcPr>
          <w:p>
            <w:pPr>
              <w:spacing w:after="0"/>
              <w:rPr>
                <w:sz w:val="20"/>
                <w:szCs w:val="20"/>
                <w:color w:val="auto"/>
              </w:rPr>
            </w:pPr>
            <w:r>
              <w:rPr>
                <w:rFonts w:ascii="Arial" w:cs="Arial" w:eastAsia="Arial" w:hAnsi="Arial"/>
                <w:sz w:val="18"/>
                <w:szCs w:val="18"/>
                <w:color w:val="auto"/>
              </w:rPr>
              <w:t>Foreign income and withholding taxes</w:t>
            </w:r>
          </w:p>
        </w:tc>
        <w:tc>
          <w:tcPr>
            <w:tcW w:w="220" w:type="dxa"/>
            <w:vAlign w:val="bottom"/>
            <w:shd w:val="clear" w:color="auto" w:fill="D5E6F7"/>
          </w:tcPr>
          <w:p>
            <w:pPr>
              <w:spacing w:after="0"/>
              <w:rPr>
                <w:sz w:val="18"/>
                <w:szCs w:val="18"/>
                <w:color w:val="auto"/>
              </w:rPr>
            </w:pPr>
          </w:p>
        </w:tc>
        <w:tc>
          <w:tcPr>
            <w:tcW w:w="102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(185)</w:t>
            </w:r>
          </w:p>
        </w:tc>
        <w:tc>
          <w:tcPr>
            <w:tcW w:w="1340" w:type="dxa"/>
            <w:vAlign w:val="bottom"/>
            <w:gridSpan w:val="2"/>
            <w:shd w:val="clear" w:color="auto" w:fill="D5E6F7"/>
          </w:tcPr>
          <w:p>
            <w:pPr>
              <w:jc w:val="right"/>
              <w:ind w:right="108"/>
              <w:spacing w:after="0"/>
              <w:rPr>
                <w:sz w:val="20"/>
                <w:szCs w:val="20"/>
                <w:color w:val="auto"/>
              </w:rPr>
            </w:pPr>
            <w:r>
              <w:rPr>
                <w:rFonts w:ascii="Arial" w:cs="Arial" w:eastAsia="Arial" w:hAnsi="Arial"/>
                <w:sz w:val="18"/>
                <w:szCs w:val="18"/>
                <w:color w:val="auto"/>
              </w:rPr>
              <w:t>11%</w:t>
            </w:r>
          </w:p>
        </w:tc>
        <w:tc>
          <w:tcPr>
            <w:tcW w:w="240" w:type="dxa"/>
            <w:vAlign w:val="bottom"/>
            <w:shd w:val="clear" w:color="auto" w:fill="D5E6F7"/>
          </w:tcPr>
          <w:p>
            <w:pPr>
              <w:spacing w:after="0"/>
              <w:rPr>
                <w:sz w:val="18"/>
                <w:szCs w:val="18"/>
                <w:color w:val="auto"/>
              </w:rPr>
            </w:pPr>
          </w:p>
        </w:tc>
        <w:tc>
          <w:tcPr>
            <w:tcW w:w="102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(87)</w:t>
            </w:r>
          </w:p>
        </w:tc>
        <w:tc>
          <w:tcPr>
            <w:tcW w:w="1040" w:type="dxa"/>
            <w:vAlign w:val="bottom"/>
            <w:gridSpan w:val="2"/>
            <w:shd w:val="clear" w:color="auto" w:fill="D5E6F7"/>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02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(98)</w:t>
            </w:r>
          </w:p>
        </w:tc>
        <w:tc>
          <w:tcPr>
            <w:tcW w:w="9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Permanent tax adjustment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shd w:val="clear" w:color="auto" w:fill="D5E6F7"/>
          </w:tcPr>
          <w:p>
            <w:pPr>
              <w:spacing w:after="0"/>
              <w:rPr>
                <w:sz w:val="20"/>
                <w:szCs w:val="20"/>
                <w:color w:val="auto"/>
              </w:rPr>
            </w:pPr>
            <w:r>
              <w:rPr>
                <w:rFonts w:ascii="Arial" w:cs="Arial" w:eastAsia="Arial" w:hAnsi="Arial"/>
                <w:sz w:val="18"/>
                <w:szCs w:val="18"/>
                <w:color w:val="auto"/>
              </w:rPr>
              <w:t>Section 162(m)</w:t>
            </w:r>
          </w:p>
        </w:tc>
        <w:tc>
          <w:tcPr>
            <w:tcW w:w="220" w:type="dxa"/>
            <w:vAlign w:val="bottom"/>
            <w:shd w:val="clear" w:color="auto" w:fill="D5E6F7"/>
          </w:tcPr>
          <w:p>
            <w:pPr>
              <w:spacing w:after="0"/>
              <w:rPr>
                <w:sz w:val="18"/>
                <w:szCs w:val="18"/>
                <w:color w:val="auto"/>
              </w:rPr>
            </w:pP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D5E6F7"/>
          </w:tcPr>
          <w:p>
            <w:pPr>
              <w:spacing w:after="0"/>
              <w:rPr>
                <w:sz w:val="18"/>
                <w:szCs w:val="18"/>
                <w:color w:val="auto"/>
              </w:rPr>
            </w:pPr>
          </w:p>
        </w:tc>
        <w:tc>
          <w:tcPr>
            <w:tcW w:w="1340" w:type="dxa"/>
            <w:vAlign w:val="bottom"/>
            <w:gridSpan w:val="2"/>
            <w:shd w:val="clear" w:color="auto" w:fill="D5E6F7"/>
          </w:tcPr>
          <w:p>
            <w:pPr>
              <w:jc w:val="right"/>
              <w:ind w:right="48"/>
              <w:spacing w:after="0"/>
              <w:rPr>
                <w:sz w:val="20"/>
                <w:szCs w:val="20"/>
                <w:color w:val="auto"/>
              </w:rPr>
            </w:pPr>
            <w:r>
              <w:rPr>
                <w:rFonts w:ascii="Arial" w:cs="Arial" w:eastAsia="Arial" w:hAnsi="Arial"/>
                <w:sz w:val="18"/>
                <w:szCs w:val="18"/>
                <w:color w:val="auto"/>
              </w:rPr>
              <w:t>(60)%</w:t>
            </w:r>
          </w:p>
        </w:tc>
        <w:tc>
          <w:tcPr>
            <w:tcW w:w="240" w:type="dxa"/>
            <w:vAlign w:val="bottom"/>
            <w:shd w:val="clear" w:color="auto" w:fill="D5E6F7"/>
          </w:tcPr>
          <w:p>
            <w:pPr>
              <w:spacing w:after="0"/>
              <w:rPr>
                <w:sz w:val="18"/>
                <w:szCs w:val="18"/>
                <w:color w:val="auto"/>
              </w:rPr>
            </w:pP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5E6F7"/>
          </w:tcPr>
          <w:p>
            <w:pPr>
              <w:spacing w:after="0"/>
              <w:rPr>
                <w:sz w:val="18"/>
                <w:szCs w:val="18"/>
                <w:color w:val="auto"/>
              </w:rPr>
            </w:pPr>
          </w:p>
        </w:tc>
        <w:tc>
          <w:tcPr>
            <w:tcW w:w="1040" w:type="dxa"/>
            <w:vAlign w:val="bottom"/>
            <w:gridSpan w:val="2"/>
            <w:shd w:val="clear" w:color="auto" w:fill="D5E6F7"/>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D5E6F7"/>
          </w:tcPr>
          <w:p>
            <w:pPr>
              <w:spacing w:after="0"/>
              <w:rPr>
                <w:sz w:val="18"/>
                <w:szCs w:val="18"/>
                <w:color w:val="auto"/>
              </w:rPr>
            </w:pPr>
          </w:p>
        </w:tc>
        <w:tc>
          <w:tcPr>
            <w:tcW w:w="98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(1,545)</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4060" w:type="dxa"/>
            <w:vAlign w:val="bottom"/>
            <w:shd w:val="clear" w:color="auto" w:fill="D5E6F7"/>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D5E6F7"/>
          </w:tcPr>
          <w:p>
            <w:pPr>
              <w:spacing w:after="0"/>
              <w:rPr>
                <w:sz w:val="18"/>
                <w:szCs w:val="18"/>
                <w:color w:val="auto"/>
              </w:rPr>
            </w:pP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2,959</w:t>
            </w:r>
          </w:p>
        </w:tc>
        <w:tc>
          <w:tcPr>
            <w:tcW w:w="220" w:type="dxa"/>
            <w:vAlign w:val="bottom"/>
            <w:shd w:val="clear" w:color="auto" w:fill="D5E6F7"/>
          </w:tcPr>
          <w:p>
            <w:pPr>
              <w:spacing w:after="0"/>
              <w:rPr>
                <w:sz w:val="18"/>
                <w:szCs w:val="18"/>
                <w:color w:val="auto"/>
              </w:rPr>
            </w:pPr>
          </w:p>
        </w:tc>
        <w:tc>
          <w:tcPr>
            <w:tcW w:w="1340" w:type="dxa"/>
            <w:vAlign w:val="bottom"/>
            <w:gridSpan w:val="2"/>
            <w:shd w:val="clear" w:color="auto" w:fill="D5E6F7"/>
          </w:tcPr>
          <w:p>
            <w:pPr>
              <w:jc w:val="right"/>
              <w:ind w:right="48"/>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D5E6F7"/>
          </w:tcPr>
          <w:p>
            <w:pPr>
              <w:spacing w:after="0"/>
              <w:rPr>
                <w:sz w:val="18"/>
                <w:szCs w:val="18"/>
                <w:color w:val="auto"/>
              </w:rPr>
            </w:pP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D5E6F7"/>
          </w:tcPr>
          <w:p>
            <w:pPr>
              <w:spacing w:after="0"/>
              <w:rPr>
                <w:sz w:val="18"/>
                <w:szCs w:val="18"/>
                <w:color w:val="auto"/>
              </w:rPr>
            </w:pPr>
          </w:p>
        </w:tc>
        <w:tc>
          <w:tcPr>
            <w:tcW w:w="1040" w:type="dxa"/>
            <w:vAlign w:val="bottom"/>
            <w:gridSpan w:val="2"/>
            <w:shd w:val="clear" w:color="auto" w:fill="D5E6F7"/>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5,445</w:t>
            </w:r>
          </w:p>
        </w:tc>
        <w:tc>
          <w:tcPr>
            <w:tcW w:w="220" w:type="dxa"/>
            <w:vAlign w:val="bottom"/>
            <w:shd w:val="clear" w:color="auto" w:fill="D5E6F7"/>
          </w:tcPr>
          <w:p>
            <w:pPr>
              <w:spacing w:after="0"/>
              <w:rPr>
                <w:sz w:val="18"/>
                <w:szCs w:val="18"/>
                <w:color w:val="auto"/>
              </w:rPr>
            </w:pPr>
          </w:p>
        </w:tc>
        <w:tc>
          <w:tcPr>
            <w:tcW w:w="98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(1,980)</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4060" w:type="dxa"/>
            <w:vAlign w:val="bottom"/>
            <w:shd w:val="clear" w:color="auto" w:fill="D5E6F7"/>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5E6F7"/>
          </w:tcPr>
          <w:p>
            <w:pPr>
              <w:spacing w:after="0"/>
              <w:rPr>
                <w:sz w:val="18"/>
                <w:szCs w:val="18"/>
                <w:color w:val="auto"/>
              </w:rPr>
            </w:pPr>
          </w:p>
        </w:tc>
        <w:tc>
          <w:tcPr>
            <w:tcW w:w="102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(41)</w:t>
            </w:r>
          </w:p>
        </w:tc>
        <w:tc>
          <w:tcPr>
            <w:tcW w:w="1340" w:type="dxa"/>
            <w:vAlign w:val="bottom"/>
            <w:gridSpan w:val="2"/>
            <w:shd w:val="clear" w:color="auto" w:fill="D5E6F7"/>
          </w:tcPr>
          <w:p>
            <w:pPr>
              <w:jc w:val="right"/>
              <w:ind w:right="108"/>
              <w:spacing w:after="0"/>
              <w:rPr>
                <w:sz w:val="20"/>
                <w:szCs w:val="20"/>
                <w:color w:val="auto"/>
              </w:rPr>
            </w:pPr>
            <w:r>
              <w:rPr>
                <w:rFonts w:ascii="Arial" w:cs="Arial" w:eastAsia="Arial" w:hAnsi="Arial"/>
                <w:sz w:val="18"/>
                <w:szCs w:val="18"/>
                <w:color w:val="auto"/>
              </w:rPr>
              <w:t>2%</w:t>
            </w:r>
          </w:p>
        </w:tc>
        <w:tc>
          <w:tcPr>
            <w:tcW w:w="240" w:type="dxa"/>
            <w:vAlign w:val="bottom"/>
            <w:shd w:val="clear" w:color="auto" w:fill="D5E6F7"/>
          </w:tcPr>
          <w:p>
            <w:pPr>
              <w:spacing w:after="0"/>
              <w:rPr>
                <w:sz w:val="18"/>
                <w:szCs w:val="18"/>
                <w:color w:val="auto"/>
              </w:rPr>
            </w:pPr>
          </w:p>
        </w:tc>
        <w:tc>
          <w:tcPr>
            <w:tcW w:w="8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D5E6F7"/>
          </w:tcPr>
          <w:p>
            <w:pPr>
              <w:spacing w:after="0"/>
              <w:rPr>
                <w:sz w:val="18"/>
                <w:szCs w:val="18"/>
                <w:color w:val="auto"/>
              </w:rPr>
            </w:pPr>
          </w:p>
        </w:tc>
        <w:tc>
          <w:tcPr>
            <w:tcW w:w="1040" w:type="dxa"/>
            <w:vAlign w:val="bottom"/>
            <w:gridSpan w:val="2"/>
            <w:shd w:val="clear" w:color="auto" w:fill="D5E6F7"/>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02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(331)</w:t>
            </w:r>
          </w:p>
        </w:tc>
        <w:tc>
          <w:tcPr>
            <w:tcW w:w="9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rPr>
              <w:t>2%</w:t>
            </w:r>
          </w:p>
        </w:tc>
      </w:tr>
      <w:tr>
        <w:trPr>
          <w:trHeight w:val="177"/>
        </w:trPr>
        <w:tc>
          <w:tcPr>
            <w:tcW w:w="4060" w:type="dxa"/>
            <w:vAlign w:val="bottom"/>
          </w:tcPr>
          <w:p>
            <w:pPr>
              <w:ind w:left="140"/>
              <w:spacing w:after="0" w:line="177" w:lineRule="exact"/>
              <w:rPr>
                <w:sz w:val="20"/>
                <w:szCs w:val="20"/>
                <w:color w:val="auto"/>
              </w:rPr>
            </w:pPr>
            <w:r>
              <w:rPr>
                <w:rFonts w:ascii="Arial" w:cs="Arial" w:eastAsia="Arial" w:hAnsi="Arial"/>
                <w:sz w:val="18"/>
                <w:szCs w:val="18"/>
                <w:color w:val="auto"/>
              </w:rPr>
              <w:t>Income tax provision (benefit) at effective tax</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4060" w:type="dxa"/>
            <w:vAlign w:val="bottom"/>
          </w:tcPr>
          <w:p>
            <w:pPr>
              <w:ind w:left="140"/>
              <w:spacing w:after="0"/>
              <w:rPr>
                <w:sz w:val="20"/>
                <w:szCs w:val="20"/>
                <w:color w:val="auto"/>
              </w:rPr>
            </w:pPr>
            <w:r>
              <w:rPr>
                <w:rFonts w:ascii="Arial" w:cs="Arial" w:eastAsia="Arial" w:hAnsi="Arial"/>
                <w:sz w:val="18"/>
                <w:szCs w:val="18"/>
                <w:color w:val="auto"/>
              </w:rPr>
              <w:t>rate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0"/>
        </w:trPr>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tax effects of temporary differences that give rise to significant portions of the Company’s deferred tax assets and liabilities are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As of January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6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b w:val="1"/>
                <w:bCs w:val="1"/>
                <w:color w:val="auto"/>
              </w:rPr>
              <w:t>Deferred tax assets:</w:t>
            </w:r>
          </w:p>
        </w:tc>
        <w:tc>
          <w:tcPr>
            <w:tcW w:w="2100" w:type="dxa"/>
            <w:vAlign w:val="bottom"/>
            <w:tcBorders>
              <w:top w:val="single" w:sz="8" w:color="D5E6F7"/>
            </w:tcBorders>
            <w:shd w:val="clear" w:color="auto" w:fill="D5E6F7"/>
          </w:tcPr>
          <w:p>
            <w:pPr>
              <w:spacing w:after="0"/>
              <w:rPr>
                <w:sz w:val="18"/>
                <w:szCs w:val="18"/>
                <w:color w:val="auto"/>
              </w:rPr>
            </w:pPr>
          </w:p>
        </w:tc>
        <w:tc>
          <w:tcPr>
            <w:tcW w:w="1160" w:type="dxa"/>
            <w:vAlign w:val="bottom"/>
            <w:tcBorders>
              <w:top w:val="single" w:sz="8" w:color="auto"/>
            </w:tcBorders>
            <w:shd w:val="clear" w:color="auto" w:fill="D5E6F7"/>
          </w:tcPr>
          <w:p>
            <w:pPr>
              <w:spacing w:after="0"/>
              <w:rPr>
                <w:sz w:val="18"/>
                <w:szCs w:val="18"/>
                <w:color w:val="auto"/>
              </w:rPr>
            </w:pPr>
          </w:p>
        </w:tc>
        <w:tc>
          <w:tcPr>
            <w:tcW w:w="680" w:type="dxa"/>
            <w:vAlign w:val="bottom"/>
            <w:tcBorders>
              <w:top w:val="single" w:sz="8" w:color="auto"/>
            </w:tcBorders>
            <w:shd w:val="clear" w:color="auto" w:fill="D5E6F7"/>
          </w:tcPr>
          <w:p>
            <w:pPr>
              <w:spacing w:after="0"/>
              <w:rPr>
                <w:sz w:val="18"/>
                <w:szCs w:val="18"/>
                <w:color w:val="auto"/>
              </w:rPr>
            </w:pPr>
          </w:p>
        </w:tc>
        <w:tc>
          <w:tcPr>
            <w:tcW w:w="180" w:type="dxa"/>
            <w:vAlign w:val="bottom"/>
            <w:tcBorders>
              <w:top w:val="single" w:sz="8" w:color="D5E6F7"/>
            </w:tcBorders>
            <w:shd w:val="clear" w:color="auto" w:fill="D5E6F7"/>
          </w:tcPr>
          <w:p>
            <w:pPr>
              <w:spacing w:after="0"/>
              <w:rPr>
                <w:sz w:val="18"/>
                <w:szCs w:val="18"/>
                <w:color w:val="auto"/>
              </w:rPr>
            </w:pPr>
          </w:p>
        </w:tc>
        <w:tc>
          <w:tcPr>
            <w:tcW w:w="120" w:type="dxa"/>
            <w:vAlign w:val="bottom"/>
            <w:tcBorders>
              <w:top w:val="single" w:sz="8" w:color="D5E6F7"/>
            </w:tcBorders>
            <w:shd w:val="clear" w:color="auto" w:fill="D5E6F7"/>
          </w:tcPr>
          <w:p>
            <w:pPr>
              <w:spacing w:after="0"/>
              <w:rPr>
                <w:sz w:val="18"/>
                <w:szCs w:val="18"/>
                <w:color w:val="auto"/>
              </w:rPr>
            </w:pPr>
          </w:p>
        </w:tc>
        <w:tc>
          <w:tcPr>
            <w:tcW w:w="600" w:type="dxa"/>
            <w:vAlign w:val="bottom"/>
            <w:tcBorders>
              <w:top w:val="single" w:sz="8" w:color="auto"/>
            </w:tcBorders>
            <w:shd w:val="clear" w:color="auto" w:fill="D5E6F7"/>
          </w:tcPr>
          <w:p>
            <w:pPr>
              <w:spacing w:after="0"/>
              <w:rPr>
                <w:sz w:val="18"/>
                <w:szCs w:val="18"/>
                <w:color w:val="auto"/>
              </w:rPr>
            </w:pPr>
          </w:p>
        </w:tc>
        <w:tc>
          <w:tcPr>
            <w:tcW w:w="1260" w:type="dxa"/>
            <w:vAlign w:val="bottom"/>
            <w:tcBorders>
              <w:top w:val="single" w:sz="8" w:color="auto"/>
            </w:tcBorders>
            <w:shd w:val="clear" w:color="auto" w:fill="D5E6F7"/>
          </w:tcPr>
          <w:p>
            <w:pPr>
              <w:spacing w:after="0"/>
              <w:rPr>
                <w:sz w:val="18"/>
                <w:szCs w:val="18"/>
                <w:color w:val="auto"/>
              </w:rPr>
            </w:pPr>
          </w:p>
        </w:tc>
        <w:tc>
          <w:tcPr>
            <w:tcW w:w="100" w:type="dxa"/>
            <w:vAlign w:val="bottom"/>
            <w:tcBorders>
              <w:top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3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34,808</w:t>
            </w:r>
          </w:p>
        </w:tc>
        <w:tc>
          <w:tcPr>
            <w:tcW w:w="180" w:type="dxa"/>
            <w:vAlign w:val="bottom"/>
          </w:tcPr>
          <w:p>
            <w:pPr>
              <w:spacing w:after="0"/>
              <w:rPr>
                <w:sz w:val="18"/>
                <w:szCs w:val="18"/>
                <w:color w:val="auto"/>
              </w:rPr>
            </w:pP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Tax credit carryover</w:t>
            </w:r>
          </w:p>
        </w:tc>
        <w:tc>
          <w:tcPr>
            <w:tcW w:w="210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6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10,905</w:t>
            </w:r>
          </w:p>
        </w:tc>
        <w:tc>
          <w:tcPr>
            <w:tcW w:w="18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600" w:type="dxa"/>
            <w:vAlign w:val="bottom"/>
            <w:shd w:val="clear" w:color="auto" w:fill="D5E6F7"/>
          </w:tcPr>
          <w:p>
            <w:pPr>
              <w:spacing w:after="0"/>
              <w:rPr>
                <w:sz w:val="18"/>
                <w:szCs w:val="18"/>
                <w:color w:val="auto"/>
              </w:rPr>
            </w:pPr>
          </w:p>
        </w:tc>
        <w:tc>
          <w:tcPr>
            <w:tcW w:w="12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8,963</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Stock-based compensation</w:t>
            </w:r>
          </w:p>
        </w:tc>
        <w:tc>
          <w:tcPr>
            <w:tcW w:w="210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6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600" w:type="dxa"/>
            <w:vAlign w:val="bottom"/>
            <w:shd w:val="clear" w:color="auto" w:fill="D5E6F7"/>
          </w:tcPr>
          <w:p>
            <w:pPr>
              <w:spacing w:after="0"/>
              <w:rPr>
                <w:sz w:val="18"/>
                <w:szCs w:val="18"/>
                <w:color w:val="auto"/>
              </w:rPr>
            </w:pPr>
          </w:p>
        </w:tc>
        <w:tc>
          <w:tcPr>
            <w:tcW w:w="12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Acquired intangible assets</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Deferred revenue</w:t>
            </w:r>
          </w:p>
        </w:tc>
        <w:tc>
          <w:tcPr>
            <w:tcW w:w="210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6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600" w:type="dxa"/>
            <w:vAlign w:val="bottom"/>
            <w:shd w:val="clear" w:color="auto" w:fill="D5E6F7"/>
          </w:tcPr>
          <w:p>
            <w:pPr>
              <w:spacing w:after="0"/>
              <w:rPr>
                <w:sz w:val="18"/>
                <w:szCs w:val="18"/>
                <w:color w:val="auto"/>
              </w:rPr>
            </w:pPr>
          </w:p>
        </w:tc>
        <w:tc>
          <w:tcPr>
            <w:tcW w:w="12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D5E6F7"/>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D5E6F7"/>
            </w:tcBorders>
          </w:tcPr>
          <w:p>
            <w:pPr>
              <w:spacing w:after="0"/>
              <w:rPr>
                <w:sz w:val="18"/>
                <w:szCs w:val="18"/>
                <w:color w:val="auto"/>
              </w:rPr>
            </w:pPr>
          </w:p>
        </w:tc>
        <w:tc>
          <w:tcPr>
            <w:tcW w:w="120" w:type="dxa"/>
            <w:vAlign w:val="bottom"/>
            <w:tcBorders>
              <w:bottom w:val="single" w:sz="8" w:color="D5E6F7"/>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5E6F7"/>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D5E6F7"/>
          </w:tcPr>
          <w:p>
            <w:pPr>
              <w:ind w:left="260"/>
              <w:spacing w:after="0"/>
              <w:rPr>
                <w:sz w:val="20"/>
                <w:szCs w:val="20"/>
                <w:color w:val="auto"/>
              </w:rPr>
            </w:pPr>
            <w:r>
              <w:rPr>
                <w:rFonts w:ascii="Arial" w:cs="Arial" w:eastAsia="Arial" w:hAnsi="Arial"/>
                <w:sz w:val="18"/>
                <w:szCs w:val="18"/>
                <w:color w:val="auto"/>
              </w:rPr>
              <w:t>Gross deferred tax assets</w:t>
            </w:r>
          </w:p>
        </w:tc>
        <w:tc>
          <w:tcPr>
            <w:tcW w:w="210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6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50,609</w:t>
            </w:r>
          </w:p>
        </w:tc>
        <w:tc>
          <w:tcPr>
            <w:tcW w:w="18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600" w:type="dxa"/>
            <w:vAlign w:val="bottom"/>
            <w:shd w:val="clear" w:color="auto" w:fill="D5E6F7"/>
          </w:tcPr>
          <w:p>
            <w:pPr>
              <w:spacing w:after="0"/>
              <w:rPr>
                <w:sz w:val="18"/>
                <w:szCs w:val="18"/>
                <w:color w:val="auto"/>
              </w:rPr>
            </w:pPr>
          </w:p>
        </w:tc>
        <w:tc>
          <w:tcPr>
            <w:tcW w:w="12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45,047</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(45,111)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(42,153)</w:t>
            </w:r>
          </w:p>
        </w:tc>
        <w:tc>
          <w:tcPr>
            <w:tcW w:w="0" w:type="dxa"/>
            <w:vAlign w:val="bottom"/>
          </w:tcPr>
          <w:p>
            <w:pPr>
              <w:spacing w:after="0"/>
              <w:rPr>
                <w:sz w:val="1"/>
                <w:szCs w:val="1"/>
                <w:color w:val="auto"/>
              </w:rPr>
            </w:pPr>
          </w:p>
        </w:tc>
      </w:tr>
      <w:tr>
        <w:trPr>
          <w:trHeight w:val="209"/>
        </w:trPr>
        <w:tc>
          <w:tcPr>
            <w:tcW w:w="5040" w:type="dxa"/>
            <w:vAlign w:val="bottom"/>
            <w:tcBorders>
              <w:top w:val="single" w:sz="8" w:color="D5E6F7"/>
              <w:bottom w:val="single" w:sz="8" w:color="D5E6F7"/>
            </w:tcBorders>
            <w:shd w:val="clear" w:color="auto" w:fill="D5E6F7"/>
          </w:tcPr>
          <w:p>
            <w:pPr>
              <w:ind w:left="380"/>
              <w:spacing w:after="0"/>
              <w:rPr>
                <w:sz w:val="20"/>
                <w:szCs w:val="20"/>
                <w:color w:val="auto"/>
              </w:rPr>
            </w:pPr>
            <w:r>
              <w:rPr>
                <w:rFonts w:ascii="Arial" w:cs="Arial" w:eastAsia="Arial" w:hAnsi="Arial"/>
                <w:sz w:val="18"/>
                <w:szCs w:val="18"/>
                <w:color w:val="auto"/>
              </w:rPr>
              <w:t>Net deferred tax assets</w:t>
            </w:r>
          </w:p>
        </w:tc>
        <w:tc>
          <w:tcPr>
            <w:tcW w:w="2100" w:type="dxa"/>
            <w:vAlign w:val="bottom"/>
            <w:tcBorders>
              <w:top w:val="single" w:sz="8" w:color="D5E6F7"/>
              <w:bottom w:val="single" w:sz="8" w:color="D5E6F7"/>
            </w:tcBorders>
            <w:shd w:val="clear" w:color="auto" w:fill="D5E6F7"/>
          </w:tcPr>
          <w:p>
            <w:pPr>
              <w:spacing w:after="0"/>
              <w:rPr>
                <w:sz w:val="18"/>
                <w:szCs w:val="18"/>
                <w:color w:val="auto"/>
              </w:rPr>
            </w:pPr>
          </w:p>
        </w:tc>
        <w:tc>
          <w:tcPr>
            <w:tcW w:w="1160" w:type="dxa"/>
            <w:vAlign w:val="bottom"/>
            <w:tcBorders>
              <w:top w:val="single" w:sz="8" w:color="auto"/>
              <w:bottom w:val="single" w:sz="8" w:color="auto"/>
            </w:tcBorders>
            <w:shd w:val="clear" w:color="auto" w:fill="D5E6F7"/>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5,498</w:t>
            </w:r>
          </w:p>
        </w:tc>
        <w:tc>
          <w:tcPr>
            <w:tcW w:w="180" w:type="dxa"/>
            <w:vAlign w:val="bottom"/>
            <w:tcBorders>
              <w:top w:val="single" w:sz="8" w:color="D5E6F7"/>
              <w:bottom w:val="single" w:sz="8" w:color="D5E6F7"/>
            </w:tcBorders>
            <w:shd w:val="clear" w:color="auto" w:fill="D5E6F7"/>
          </w:tcPr>
          <w:p>
            <w:pPr>
              <w:spacing w:after="0"/>
              <w:rPr>
                <w:sz w:val="18"/>
                <w:szCs w:val="18"/>
                <w:color w:val="auto"/>
              </w:rPr>
            </w:pPr>
          </w:p>
        </w:tc>
        <w:tc>
          <w:tcPr>
            <w:tcW w:w="120" w:type="dxa"/>
            <w:vAlign w:val="bottom"/>
            <w:tcBorders>
              <w:top w:val="single" w:sz="8" w:color="D5E6F7"/>
              <w:bottom w:val="single" w:sz="8" w:color="D5E6F7"/>
            </w:tcBorders>
            <w:shd w:val="clear" w:color="auto" w:fill="D5E6F7"/>
          </w:tcPr>
          <w:p>
            <w:pPr>
              <w:spacing w:after="0"/>
              <w:rPr>
                <w:sz w:val="18"/>
                <w:szCs w:val="18"/>
                <w:color w:val="auto"/>
              </w:rPr>
            </w:pPr>
          </w:p>
        </w:tc>
        <w:tc>
          <w:tcPr>
            <w:tcW w:w="600" w:type="dxa"/>
            <w:vAlign w:val="bottom"/>
            <w:tcBorders>
              <w:top w:val="single" w:sz="8" w:color="auto"/>
              <w:bottom w:val="single" w:sz="8" w:color="auto"/>
            </w:tcBorders>
            <w:shd w:val="clear" w:color="auto" w:fill="D5E6F7"/>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top w:val="single" w:sz="8" w:color="D5E6F7"/>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2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Operating lease liabilities</w:t>
            </w:r>
          </w:p>
        </w:tc>
        <w:tc>
          <w:tcPr>
            <w:tcW w:w="3260" w:type="dxa"/>
            <w:vAlign w:val="bottom"/>
            <w:gridSpan w:val="2"/>
            <w:shd w:val="clear" w:color="auto" w:fill="D5E6F7"/>
          </w:tcPr>
          <w:p>
            <w:pPr>
              <w:jc w:val="right"/>
              <w:ind w:right="9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5E6F7"/>
          </w:tcPr>
          <w:p>
            <w:pPr>
              <w:jc w:val="right"/>
              <w:ind w:right="120"/>
              <w:spacing w:after="0"/>
              <w:rPr>
                <w:sz w:val="20"/>
                <w:szCs w:val="20"/>
                <w:color w:val="auto"/>
              </w:rPr>
            </w:pPr>
            <w:r>
              <w:rPr>
                <w:rFonts w:ascii="Arial" w:cs="Arial" w:eastAsia="Arial" w:hAnsi="Arial"/>
                <w:sz w:val="18"/>
                <w:szCs w:val="18"/>
                <w:color w:val="auto"/>
              </w:rPr>
              <w:t>(3,468)</w:t>
            </w:r>
          </w:p>
        </w:tc>
        <w:tc>
          <w:tcPr>
            <w:tcW w:w="720" w:type="dxa"/>
            <w:vAlign w:val="bottom"/>
            <w:gridSpan w:val="2"/>
            <w:shd w:val="clear" w:color="auto" w:fill="D5E6F7"/>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Accruals and reserves</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5040" w:type="dxa"/>
            <w:vAlign w:val="bottom"/>
            <w:shd w:val="clear" w:color="auto" w:fill="D5E6F7"/>
          </w:tcPr>
          <w:p>
            <w:pPr>
              <w:ind w:left="140"/>
              <w:spacing w:after="0"/>
              <w:rPr>
                <w:sz w:val="20"/>
                <w:szCs w:val="20"/>
                <w:color w:val="auto"/>
              </w:rPr>
            </w:pPr>
            <w:r>
              <w:rPr>
                <w:rFonts w:ascii="Arial" w:cs="Arial" w:eastAsia="Arial" w:hAnsi="Arial"/>
                <w:sz w:val="18"/>
                <w:szCs w:val="18"/>
                <w:color w:val="auto"/>
              </w:rPr>
              <w:t>Fixed assets depreciation</w:t>
            </w:r>
          </w:p>
        </w:tc>
        <w:tc>
          <w:tcPr>
            <w:tcW w:w="210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860" w:type="dxa"/>
            <w:vAlign w:val="bottom"/>
            <w:gridSpan w:val="2"/>
            <w:shd w:val="clear" w:color="auto" w:fill="D5E6F7"/>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5E6F7"/>
          </w:tcPr>
          <w:p>
            <w:pPr>
              <w:spacing w:after="0"/>
              <w:rPr>
                <w:sz w:val="18"/>
                <w:szCs w:val="18"/>
                <w:color w:val="auto"/>
              </w:rPr>
            </w:pPr>
          </w:p>
        </w:tc>
        <w:tc>
          <w:tcPr>
            <w:tcW w:w="600" w:type="dxa"/>
            <w:vAlign w:val="bottom"/>
            <w:shd w:val="clear" w:color="auto" w:fill="D5E6F7"/>
          </w:tcPr>
          <w:p>
            <w:pPr>
              <w:spacing w:after="0"/>
              <w:rPr>
                <w:sz w:val="18"/>
                <w:szCs w:val="18"/>
                <w:color w:val="auto"/>
              </w:rPr>
            </w:pPr>
          </w:p>
        </w:tc>
        <w:tc>
          <w:tcPr>
            <w:tcW w:w="136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D5E6F7"/>
            </w:tcBorders>
          </w:tcPr>
          <w:p>
            <w:pPr>
              <w:ind w:left="260"/>
              <w:spacing w:after="0"/>
              <w:rPr>
                <w:sz w:val="20"/>
                <w:szCs w:val="20"/>
                <w:color w:val="auto"/>
              </w:rPr>
            </w:pPr>
            <w:r>
              <w:rPr>
                <w:rFonts w:ascii="Arial" w:cs="Arial" w:eastAsia="Arial" w:hAnsi="Arial"/>
                <w:sz w:val="18"/>
                <w:szCs w:val="18"/>
                <w:color w:val="auto"/>
              </w:rPr>
              <w:t>Gross deferred tax liabilities</w:t>
            </w:r>
          </w:p>
        </w:tc>
        <w:tc>
          <w:tcPr>
            <w:tcW w:w="2100" w:type="dxa"/>
            <w:vAlign w:val="bottom"/>
            <w:tcBorders>
              <w:bottom w:val="single" w:sz="8" w:color="D5E6F7"/>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180" w:type="dxa"/>
            <w:vAlign w:val="bottom"/>
            <w:tcBorders>
              <w:bottom w:val="single" w:sz="8" w:color="D5E6F7"/>
            </w:tcBorders>
          </w:tcPr>
          <w:p>
            <w:pPr>
              <w:spacing w:after="0"/>
              <w:rPr>
                <w:sz w:val="18"/>
                <w:szCs w:val="18"/>
                <w:color w:val="auto"/>
              </w:rPr>
            </w:pPr>
          </w:p>
        </w:tc>
        <w:tc>
          <w:tcPr>
            <w:tcW w:w="120" w:type="dxa"/>
            <w:vAlign w:val="bottom"/>
            <w:tcBorders>
              <w:bottom w:val="single" w:sz="8" w:color="D5E6F7"/>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D5E6F7"/>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D5E6F7"/>
            </w:tcBorders>
            <w:shd w:val="clear" w:color="auto" w:fill="D5E6F7"/>
          </w:tcPr>
          <w:p>
            <w:pPr>
              <w:ind w:left="380"/>
              <w:spacing w:after="0"/>
              <w:rPr>
                <w:sz w:val="20"/>
                <w:szCs w:val="20"/>
                <w:color w:val="auto"/>
              </w:rPr>
            </w:pPr>
            <w:r>
              <w:rPr>
                <w:rFonts w:ascii="Arial" w:cs="Arial" w:eastAsia="Arial" w:hAnsi="Arial"/>
                <w:sz w:val="18"/>
                <w:szCs w:val="18"/>
                <w:color w:val="auto"/>
              </w:rPr>
              <w:t>Net deferred taxes</w:t>
            </w:r>
          </w:p>
        </w:tc>
        <w:tc>
          <w:tcPr>
            <w:tcW w:w="2100" w:type="dxa"/>
            <w:vAlign w:val="bottom"/>
            <w:tcBorders>
              <w:bottom w:val="single" w:sz="8" w:color="D5E6F7"/>
            </w:tcBorders>
            <w:shd w:val="clear" w:color="auto" w:fill="D5E6F7"/>
          </w:tcPr>
          <w:p>
            <w:pPr>
              <w:spacing w:after="0"/>
              <w:rPr>
                <w:sz w:val="18"/>
                <w:szCs w:val="18"/>
                <w:color w:val="auto"/>
              </w:rPr>
            </w:pPr>
          </w:p>
        </w:tc>
        <w:tc>
          <w:tcPr>
            <w:tcW w:w="1160" w:type="dxa"/>
            <w:vAlign w:val="bottom"/>
            <w:tcBorders>
              <w:bottom w:val="single" w:sz="8" w:color="auto"/>
            </w:tcBorders>
            <w:shd w:val="clear" w:color="auto" w:fill="D5E6F7"/>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5E6F7"/>
            </w:tcBorders>
            <w:shd w:val="clear" w:color="auto" w:fill="D5E6F7"/>
          </w:tcPr>
          <w:p>
            <w:pPr>
              <w:spacing w:after="0"/>
              <w:rPr>
                <w:sz w:val="18"/>
                <w:szCs w:val="18"/>
                <w:color w:val="auto"/>
              </w:rPr>
            </w:pPr>
          </w:p>
        </w:tc>
        <w:tc>
          <w:tcPr>
            <w:tcW w:w="120" w:type="dxa"/>
            <w:vAlign w:val="bottom"/>
            <w:tcBorders>
              <w:bottom w:val="single" w:sz="8" w:color="D5E6F7"/>
            </w:tcBorders>
            <w:shd w:val="clear" w:color="auto" w:fill="D5E6F7"/>
          </w:tcPr>
          <w:p>
            <w:pPr>
              <w:spacing w:after="0"/>
              <w:rPr>
                <w:sz w:val="18"/>
                <w:szCs w:val="18"/>
                <w:color w:val="auto"/>
              </w:rPr>
            </w:pPr>
          </w:p>
        </w:tc>
        <w:tc>
          <w:tcPr>
            <w:tcW w:w="600" w:type="dxa"/>
            <w:vAlign w:val="bottom"/>
            <w:tcBorders>
              <w:bottom w:val="single" w:sz="8" w:color="auto"/>
            </w:tcBorders>
            <w:shd w:val="clear" w:color="auto" w:fill="D5E6F7"/>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believes that, based upon the available evidence, both positive and negative, it is more likely than not that the deferred tax assets will not be utilized, such that a full valuation allowance has been recorded. The net change in the total valuation allowance for fiscal 2022 and 2021 were increases of $3.0 million and $0.6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0" w:name="page81"/>
    <w:bookmarkEnd w:id="80"/>
    <w:p>
      <w:pPr>
        <w:jc w:val="both"/>
        <w:spacing w:after="0" w:line="244" w:lineRule="auto"/>
        <w:rPr>
          <w:sz w:val="20"/>
          <w:szCs w:val="20"/>
          <w:color w:val="auto"/>
        </w:rPr>
      </w:pPr>
      <w:r>
        <w:rPr>
          <w:rFonts w:ascii="Arial" w:cs="Arial" w:eastAsia="Arial" w:hAnsi="Arial"/>
          <w:sz w:val="18"/>
          <w:szCs w:val="18"/>
          <w:color w:val="auto"/>
        </w:rPr>
        <w:t>As of January 31, 2022, the Company had net operating loss carryforwards for federal and state tax purposes of approximately $125.1 million and $94.8 million, respectively, available to offset future taxable income. If not utilized, these available carryforward losses will expire in various amounts for federal and state tax purposes beginning in 2030. In addition, the Company had research and development tax credits for federal and state purposes of approximately $10.5 million and $9.8 million, respectively, available to offset future taxes. If not utilized, the available federal credits will begin to expire in 2030. California state research and development tax credits can be carried forward indefinitely.</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003A5D"/>
        </w:rPr>
        <w:t>Immaterial Corrections of Prior Period Disclosures</w:t>
      </w:r>
      <w:r>
        <w:rPr>
          <w:rFonts w:ascii="Arial" w:cs="Arial" w:eastAsia="Arial" w:hAnsi="Arial"/>
          <w:sz w:val="18"/>
          <w:szCs w:val="18"/>
          <w:i w:val="1"/>
          <w:iCs w:val="1"/>
          <w:color w:val="000000"/>
        </w:rPr>
        <w:t>.</w:t>
      </w:r>
      <w:r>
        <w:rPr>
          <w:rFonts w:ascii="Arial" w:cs="Arial" w:eastAsia="Arial" w:hAnsi="Arial"/>
          <w:sz w:val="18"/>
          <w:szCs w:val="18"/>
          <w:i w:val="1"/>
          <w:iCs w:val="1"/>
          <w:color w:val="003A5D"/>
        </w:rPr>
        <w:t xml:space="preserve"> </w:t>
      </w:r>
      <w:r>
        <w:rPr>
          <w:rFonts w:ascii="Arial" w:cs="Arial" w:eastAsia="Arial" w:hAnsi="Arial"/>
          <w:sz w:val="18"/>
          <w:szCs w:val="18"/>
          <w:color w:val="000000"/>
        </w:rPr>
        <w:t>Subsequent to the Company’s filing of its Annual Report on Form 10-K for the year ended</w:t>
      </w:r>
      <w:r>
        <w:rPr>
          <w:rFonts w:ascii="Arial" w:cs="Arial" w:eastAsia="Arial" w:hAnsi="Arial"/>
          <w:sz w:val="18"/>
          <w:szCs w:val="18"/>
          <w:i w:val="1"/>
          <w:iCs w:val="1"/>
          <w:color w:val="003A5D"/>
        </w:rPr>
        <w:t xml:space="preserve"> </w:t>
      </w:r>
      <w:r>
        <w:rPr>
          <w:rFonts w:ascii="Arial" w:cs="Arial" w:eastAsia="Arial" w:hAnsi="Arial"/>
          <w:sz w:val="18"/>
          <w:szCs w:val="18"/>
          <w:color w:val="000000"/>
        </w:rPr>
        <w:t>January 31, 2021, the Company identified certain errors relating to its presentation of deferred tax assets, specifically net operating loss carryforwards and the associated valuation allowance for state tax purposes. As a result, the previously reported net operating loss carryforwards deferred tax asset and the valuation allowance were each reduced by $7.4 million. These corrections had no impact on the Company’s income tax provision (benefit) reported in the consolidated statements of operations and no impact on net deferred taxes in the consolidated balance sheet as of and for the year ended January 31, 2021. The Company has evaluated the materiality of these errors based on an analysis of quantitative and qualitative factors and concluded they were not material to the prior period financial statements, individually or in the aggregate.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Uncertain Tax Positions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unrecognized tax benefits of approximately $8.1 million as of January 31, 2022. Deferred tax assets associated with these unrecognized tax benefits are fully offset by a valuation allowance. If recognized, these benefits would not affect the effective tax rate before consideration of the valuation allowance.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unrecognized tax benefits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shd w:val="clear" w:color="auto" w:fill="D5E6F7"/>
          </w:tcPr>
          <w:p>
            <w:pPr>
              <w:spacing w:after="0"/>
              <w:rPr>
                <w:sz w:val="20"/>
                <w:szCs w:val="20"/>
                <w:color w:val="auto"/>
              </w:rPr>
            </w:pPr>
            <w:r>
              <w:rPr>
                <w:rFonts w:ascii="Arial" w:cs="Arial" w:eastAsia="Arial" w:hAnsi="Arial"/>
                <w:sz w:val="18"/>
                <w:szCs w:val="18"/>
                <w:color w:val="auto"/>
              </w:rPr>
              <w:t>Balance at January 31, 2020</w:t>
            </w:r>
          </w:p>
        </w:tc>
        <w:tc>
          <w:tcPr>
            <w:tcW w:w="740" w:type="dxa"/>
            <w:vAlign w:val="bottom"/>
            <w:gridSpan w:val="2"/>
            <w:shd w:val="clear" w:color="auto" w:fill="D5E6F7"/>
          </w:tcPr>
          <w:p>
            <w:pPr>
              <w:jc w:val="right"/>
              <w:ind w:right="567"/>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D5E6F7"/>
          </w:tcPr>
          <w:p>
            <w:pPr>
              <w:spacing w:after="0"/>
              <w:rPr>
                <w:sz w:val="18"/>
                <w:szCs w:val="18"/>
                <w:color w:val="auto"/>
              </w:rPr>
            </w:pPr>
          </w:p>
        </w:tc>
      </w:tr>
      <w:tr>
        <w:trPr>
          <w:trHeight w:val="216"/>
        </w:trPr>
        <w:tc>
          <w:tcPr>
            <w:tcW w:w="9280" w:type="dxa"/>
            <w:vAlign w:val="bottom"/>
          </w:tcPr>
          <w:p>
            <w:pPr>
              <w:ind w:left="260"/>
              <w:spacing w:after="0"/>
              <w:rPr>
                <w:sz w:val="20"/>
                <w:szCs w:val="20"/>
                <w:color w:val="auto"/>
              </w:rPr>
            </w:pPr>
            <w:r>
              <w:rPr>
                <w:rFonts w:ascii="Arial" w:cs="Arial" w:eastAsia="Arial" w:hAnsi="Arial"/>
                <w:sz w:val="18"/>
                <w:szCs w:val="18"/>
                <w:color w:val="auto"/>
              </w:rPr>
              <w:t>Decrease related to prior year positions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r>
      <w:tr>
        <w:trPr>
          <w:trHeight w:val="216"/>
        </w:trPr>
        <w:tc>
          <w:tcPr>
            <w:tcW w:w="9280" w:type="dxa"/>
            <w:vAlign w:val="bottom"/>
            <w:shd w:val="clear" w:color="auto" w:fill="D5E6F7"/>
          </w:tcPr>
          <w:p>
            <w:pPr>
              <w:ind w:left="260"/>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shd w:val="clear" w:color="auto" w:fill="D5E6F7"/>
          </w:tcPr>
          <w:p>
            <w:pPr>
              <w:spacing w:after="0"/>
              <w:rPr>
                <w:sz w:val="18"/>
                <w:szCs w:val="18"/>
                <w:color w:val="auto"/>
              </w:rPr>
            </w:pPr>
          </w:p>
        </w:tc>
        <w:tc>
          <w:tcPr>
            <w:tcW w:w="72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D5E6F7"/>
          </w:tcPr>
          <w:p>
            <w:pPr>
              <w:spacing w:after="0"/>
              <w:rPr>
                <w:sz w:val="18"/>
                <w:szCs w:val="18"/>
                <w:color w:val="auto"/>
              </w:rPr>
            </w:pPr>
          </w:p>
        </w:tc>
      </w:tr>
      <w:tr>
        <w:trPr>
          <w:trHeight w:val="209"/>
        </w:trPr>
        <w:tc>
          <w:tcPr>
            <w:tcW w:w="9280" w:type="dxa"/>
            <w:vAlign w:val="bottom"/>
          </w:tcPr>
          <w:p>
            <w:pPr>
              <w:spacing w:after="0"/>
              <w:rPr>
                <w:sz w:val="20"/>
                <w:szCs w:val="20"/>
                <w:color w:val="auto"/>
              </w:rPr>
            </w:pPr>
            <w:r>
              <w:rPr>
                <w:rFonts w:ascii="Arial" w:cs="Arial" w:eastAsia="Arial" w:hAnsi="Arial"/>
                <w:sz w:val="18"/>
                <w:szCs w:val="18"/>
                <w:color w:val="auto"/>
              </w:rPr>
              <w:t>Balance at January 31, 2021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18"/>
                <w:szCs w:val="18"/>
                <w:color w:val="auto"/>
              </w:rPr>
            </w:pPr>
          </w:p>
        </w:tc>
      </w:tr>
      <w:tr>
        <w:trPr>
          <w:trHeight w:val="216"/>
        </w:trPr>
        <w:tc>
          <w:tcPr>
            <w:tcW w:w="9280" w:type="dxa"/>
            <w:vAlign w:val="bottom"/>
            <w:shd w:val="clear" w:color="auto" w:fill="D5E6F7"/>
          </w:tcPr>
          <w:p>
            <w:pPr>
              <w:ind w:left="260"/>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shd w:val="clear" w:color="auto" w:fill="D5E6F7"/>
          </w:tcPr>
          <w:p>
            <w:pPr>
              <w:spacing w:after="0"/>
              <w:rPr>
                <w:sz w:val="18"/>
                <w:szCs w:val="18"/>
                <w:color w:val="auto"/>
              </w:rPr>
            </w:pPr>
          </w:p>
        </w:tc>
        <w:tc>
          <w:tcPr>
            <w:tcW w:w="720" w:type="dxa"/>
            <w:vAlign w:val="bottom"/>
            <w:tcBorders>
              <w:bottom w:val="single" w:sz="8" w:color="auto"/>
            </w:tcBorders>
            <w:shd w:val="clear" w:color="auto" w:fill="D5E6F7"/>
          </w:tcPr>
          <w:p>
            <w:pPr>
              <w:spacing w:after="0"/>
              <w:rPr>
                <w:sz w:val="18"/>
                <w:szCs w:val="18"/>
                <w:color w:val="auto"/>
              </w:rPr>
            </w:pP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D5E6F7"/>
          </w:tcPr>
          <w:p>
            <w:pPr>
              <w:spacing w:after="0"/>
              <w:rPr>
                <w:sz w:val="18"/>
                <w:szCs w:val="18"/>
                <w:color w:val="auto"/>
              </w:rPr>
            </w:pPr>
          </w:p>
        </w:tc>
      </w:tr>
      <w:tr>
        <w:trPr>
          <w:trHeight w:val="209"/>
        </w:trPr>
        <w:tc>
          <w:tcPr>
            <w:tcW w:w="9280" w:type="dxa"/>
            <w:vAlign w:val="bottom"/>
          </w:tcPr>
          <w:p>
            <w:pPr>
              <w:spacing w:after="0"/>
              <w:rPr>
                <w:sz w:val="20"/>
                <w:szCs w:val="20"/>
                <w:color w:val="auto"/>
              </w:rPr>
            </w:pPr>
            <w:r>
              <w:rPr>
                <w:rFonts w:ascii="Arial" w:cs="Arial" w:eastAsia="Arial" w:hAnsi="Arial"/>
                <w:sz w:val="18"/>
                <w:szCs w:val="18"/>
                <w:color w:val="auto"/>
              </w:rPr>
              <w:t>Balance at January 31, 2022</w:t>
            </w: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had no interest or penalty accruals associated with uncertain tax benefits in its balance sheets and statements of operations. The Company does not have any tax positions for which it is reasonably possible the total amount of gross unrecognized benefits will increase or decrease within 12 months of the year ended January 31, 2022.</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the Company has net operating loss and credit carryforwards, there are open statutes of limitations in which federal, state and foreign taxing authorities may examine the Company’s tax returns for all tax years from 2009 through the current period.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spacing w:after="0"/>
        <w:rPr>
          <w:sz w:val="20"/>
          <w:szCs w:val="20"/>
          <w:color w:val="auto"/>
        </w:rPr>
      </w:pPr>
      <w:r>
        <w:rPr>
          <w:rFonts w:ascii="Arial" w:cs="Arial" w:eastAsia="Arial" w:hAnsi="Arial"/>
          <w:sz w:val="25"/>
          <w:szCs w:val="25"/>
          <w:b w:val="1"/>
          <w:bCs w:val="1"/>
          <w:color w:val="003A5D"/>
        </w:rPr>
        <w:t>Note 11: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Purchase Commitments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January 31, 2022 and 2021, non-cancelable inventory purchase commitments to contract manufacturers and other parties were approximately $19.4 million and $5.4 million, respectively.</w:t>
      </w:r>
    </w:p>
    <w:p>
      <w:pPr>
        <w:spacing w:after="0" w:line="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Additionally, the Company has a non-cancelable service agreement with a telecommunications provider that contains total annual minimum purchase commitments of $0.6 million between August 2021 and July 2022, $1.5 million between August 2022 and July 2023 and $2.5 million between August 2023 and July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Legal Proceedings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litigation matters described below, from time to time, the Company may be involved in a variety of other claims, lawsuits, investigations, and proceedings relating to contractual disputes, intellectual property rights, employment matters, regulatory compliance matters, and other litigation matters relating to various claims that arise in the normal course of business. Defending such proceedings is costly and can impose a significant burden on management and employees, the Company may receive unfavorable preliminary or interim rulings in the course of litigation, and there can be no assurances that favorable final outcomes will be obtained.</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determines whether an estimated loss from a contingency should be accrued by assessing whether a loss is deemed probable and can be reasonably estimated. The Company assesses its potential liability by analyzing specific litigation and regulatory matters using reasonably available information. The Company develops its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January 31, 2022 and 2021, the Company does not have any accrued liabilities recorded for loss contingencies in its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003A5D"/>
        </w:rPr>
        <w:t>Oregon Tax Litigation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August 30, 2016, the Oregon Department of Revenue (the “DOR”) issued tax assessments against the Company for the Oregon Emergency Communications Tax (the “Tax”), which the DOR alleges Ooma should have collected from its subscribers in Oregon and remitted to the DOR during the period between January 1, 2013 and March 31, 2016 (collectively, the “Assessments”). The Company believes that the Commerce Clause of the United States Constitution bars the application of the Tax and the Assessments to the Company, since the Company has no employees, property or other indicia of a “substantial nexus” with the State of Oregon.</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March 2, 2020, Oregon Tax Court issued a decision upholding the Assessments. On April 1, 2020, the Company filed a Notice of Appeal with the Supreme Court of the State of Oregon and on December 23, 2021, the Supreme Court of Oregon issued a decision upholding the assessment. The Company intends to file a petition for writ of certiorari with the United States Supreme Court. Litigation is unpredictable and there can be no assurances that the Company will obtain a favorable final outcome, even assuming the United States Supreme Court grants the Company’s petition. In prior fiscal years, the Company recorded and has paid cumulative charges of $0.6 million to the DOR as its best estimate of probable loss related to the Assessments.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3A5D"/>
        </w:rPr>
        <w:t>Canadian Litigation</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3, 2021, plaintiff Fiona Chiu filed a class action complaint against the Company and Ooma Canada Inc. in the Federal Court of Canada, alleging violations of Canada’s Trademarks Act and Competition Act. The complaint seeks monetary and other damages and/or injunctive relief enjoining the Company to cease describing and marketing its Basic Home Phone using the word “free” or otherwise representing that it is free. On November 9, 2021, the Federal Court of Canada removed Ms. Chiu and substituted John Zanin as the new plaintiff in the proceeding. In connection with the substitution of Mr. Zanin as the new plaintiff, the Federal Court of Canada deemed the proceeding as having commenced on November 8, 2021 instead of February 3, 2021. During the week of January 17, 2022, the Federal Court of Canada heard arguments from counsel representing each of the Company and Mr. Zanin regarding jurisdiction and class action certification issues, and the parties are awaiting the Court to issue its ruling. The Company intends to continue to defend itself vigorously against this complaint. Based on the Company’s current knowledge, the Company has determined that the amount of any reasonably possible loss resulting from the Canadian Litigation is not estimable.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3A5D"/>
        </w:rPr>
        <w:t>Indemnification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certain losses suffered or incurred by the indemnified party. In some cases, the term of these indemnification agreements is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The maximum potential amount of future payments the Company could be required to make under these indemnification agreements is unlimited; however, the Company has director and officer insurance coverage that reduces the Company’s exposure and enables the Company to recover a portion of any future amounts paid. To date the Company has not incurred costs to defend lawsuits or settle claims related to these indemnification agreements. No liability associated with such indemnifications has been recorded to date.</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Note 12: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Revolving Credit Facility</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January 8, 2021, the Company, as borrower, entered into a three year credit and security agreement (“Credit Agreement”) with KeyBank National Association as Administrative Agent (“Agent”) and lender, and KeyBanc Capital Markets Inc. as sole lead arranger and sole book runner. The Credit Agreement provides for a secured revolving credit facility (“Credit Facility”) under which the Company may borrow up to an aggregate amount of $ 25.0 million, which includes a $10.0 million sub-facility for letters of credit. The Company and its lenders may increase the total commitments under the Credit Facility to up to an aggregate amount of $45.0 million, subject to certain conditions. Funds borrowed under the Credit Agreement may be used for working capital and other general corporate purposes.</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Loans under the Credit Agreement will bear interest, at the Company’s option, at either a rate equal to the “Base Rate” (as defined in the Credit Agreement) or (b) “Eurodollar Rate” (as defined in the Credit Agreement) plus 2.50%. The Base Rate is the highest of (i) the Agent’s prime rate, (ii) the federal funds effective rate plus 0.5%, and (iii) the Eurodollar Rate with an interest period of one month plus 1%. The Eurodollar Rate is the London Interbank Offered Rate with various interest periods as may be selected by the Company but shall not be less than 0.75%. Upon the occurrence of any event of default, the interest rate on any borrowings increases by 2.0%. The Credit Agreement also contains customary provisions for the replacement of the London Interbank Offered Rate/Eurodollar Rate. The Company is required to pay a commitment fee on the unused portion of the Credit Facility of 0.25% per annum.</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Credit Agreement contains customary representations, warranties, affirmative and negative covenants, events of default and indemnification provisions in favor of the Agent, lenders and their affiliates. Among other covenants, the Credit Agreement includes restrictive financial covenants that require the Company to meet minimum recurring revenue levels and maintain specified amounts of available liquidity on a quarterly basis.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January 31, 2022, the Company had zero outstanding borrowings and was in compliance with the covenants contained in the Credit Agreement. Accordingly, $25.0 million of borrowing capacity was available for the purposes permitted by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3" w:name="page84"/>
    <w:bookmarkEnd w:id="83"/>
    <w:p>
      <w:pPr>
        <w:spacing w:after="0"/>
        <w:rPr>
          <w:sz w:val="20"/>
          <w:szCs w:val="20"/>
          <w:color w:val="auto"/>
        </w:rPr>
      </w:pPr>
      <w:r>
        <w:rPr>
          <w:rFonts w:ascii="Arial" w:cs="Arial" w:eastAsia="Arial" w:hAnsi="Arial"/>
          <w:sz w:val="25"/>
          <w:szCs w:val="25"/>
          <w:b w:val="1"/>
          <w:bCs w:val="1"/>
          <w:color w:val="003A5D"/>
        </w:rPr>
        <w:t>Note 13: Business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Broadsmart Global, Inc.</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24, 2019, the Company acquired all outstanding stock of Broadsmart, a provider of cloud-based UCaaS solutions based in Florida. The cash consideration transferred for Broadsmart was $7.1 million, net of cash assumed of $0.6 million. The Company acquired Broadsmart to provide scale for the Ooma Office and Ooma Enterprise platforms, which aligns with the Company’s overall enterprise growth strategy.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assets acquired and liabilities assumed as of the date of acquisition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8520" w:type="dxa"/>
            <w:vAlign w:val="bottom"/>
            <w:tcBorders>
              <w:top w:val="single" w:sz="8" w:color="D5E6F7"/>
            </w:tcBorders>
            <w:shd w:val="clear" w:color="auto" w:fill="D5E6F7"/>
          </w:tcPr>
          <w:p>
            <w:pPr>
              <w:spacing w:after="0"/>
              <w:rPr>
                <w:sz w:val="20"/>
                <w:szCs w:val="20"/>
                <w:color w:val="auto"/>
              </w:rPr>
            </w:pPr>
            <w:r>
              <w:rPr>
                <w:rFonts w:ascii="Arial" w:cs="Arial" w:eastAsia="Arial" w:hAnsi="Arial"/>
                <w:sz w:val="18"/>
                <w:szCs w:val="18"/>
                <w:color w:val="auto"/>
              </w:rPr>
              <w:t>Cash</w:t>
            </w:r>
          </w:p>
        </w:tc>
        <w:tc>
          <w:tcPr>
            <w:tcW w:w="540" w:type="dxa"/>
            <w:vAlign w:val="bottom"/>
            <w:tcBorders>
              <w:top w:val="single" w:sz="8" w:color="auto"/>
            </w:tcBorders>
            <w:shd w:val="clear" w:color="auto" w:fill="D5E6F7"/>
          </w:tcPr>
          <w:p>
            <w:pPr>
              <w:jc w:val="right"/>
              <w:ind w:right="3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top w:val="single" w:sz="8" w:color="D5E6F7"/>
            </w:tcBorders>
            <w:shd w:val="clear" w:color="auto" w:fill="D5E6F7"/>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8"/>
                <w:szCs w:val="18"/>
                <w:color w:val="auto"/>
              </w:rPr>
            </w:pPr>
          </w:p>
        </w:tc>
      </w:tr>
      <w:tr>
        <w:trPr>
          <w:trHeight w:val="216"/>
        </w:trPr>
        <w:tc>
          <w:tcPr>
            <w:tcW w:w="8520" w:type="dxa"/>
            <w:vAlign w:val="bottom"/>
            <w:shd w:val="clear" w:color="auto" w:fill="D5E6F7"/>
          </w:tcPr>
          <w:p>
            <w:pPr>
              <w:spacing w:after="0"/>
              <w:rPr>
                <w:sz w:val="20"/>
                <w:szCs w:val="20"/>
                <w:color w:val="auto"/>
              </w:rPr>
            </w:pPr>
            <w:r>
              <w:rPr>
                <w:rFonts w:ascii="Arial" w:cs="Arial" w:eastAsia="Arial" w:hAnsi="Arial"/>
                <w:sz w:val="18"/>
                <w:szCs w:val="18"/>
                <w:color w:val="auto"/>
              </w:rPr>
              <w:t>Other current and non-current assets</w:t>
            </w:r>
          </w:p>
        </w:tc>
        <w:tc>
          <w:tcPr>
            <w:tcW w:w="540" w:type="dxa"/>
            <w:vAlign w:val="bottom"/>
            <w:shd w:val="clear" w:color="auto" w:fill="D5E6F7"/>
          </w:tcPr>
          <w:p>
            <w:pPr>
              <w:spacing w:after="0"/>
              <w:rPr>
                <w:sz w:val="18"/>
                <w:szCs w:val="18"/>
                <w:color w:val="auto"/>
              </w:rPr>
            </w:pPr>
          </w:p>
        </w:tc>
        <w:tc>
          <w:tcPr>
            <w:tcW w:w="2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D5E6F7"/>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Intangible assets</w:t>
            </w:r>
          </w:p>
        </w:tc>
        <w:tc>
          <w:tcPr>
            <w:tcW w:w="5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6,107</w:t>
            </w:r>
          </w:p>
        </w:tc>
        <w:tc>
          <w:tcPr>
            <w:tcW w:w="120" w:type="dxa"/>
            <w:vAlign w:val="bottom"/>
          </w:tcPr>
          <w:p>
            <w:pPr>
              <w:spacing w:after="0"/>
              <w:rPr>
                <w:sz w:val="18"/>
                <w:szCs w:val="18"/>
                <w:color w:val="auto"/>
              </w:rPr>
            </w:pPr>
          </w:p>
        </w:tc>
      </w:tr>
      <w:tr>
        <w:trPr>
          <w:trHeight w:val="216"/>
        </w:trPr>
        <w:tc>
          <w:tcPr>
            <w:tcW w:w="8520" w:type="dxa"/>
            <w:vAlign w:val="bottom"/>
            <w:shd w:val="clear" w:color="auto" w:fill="D5E6F7"/>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5E6F7"/>
          </w:tcPr>
          <w:p>
            <w:pPr>
              <w:spacing w:after="0"/>
              <w:rPr>
                <w:sz w:val="18"/>
                <w:szCs w:val="18"/>
                <w:color w:val="auto"/>
              </w:rPr>
            </w:pPr>
          </w:p>
        </w:tc>
        <w:tc>
          <w:tcPr>
            <w:tcW w:w="20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D5E6F7"/>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540" w:type="dxa"/>
            <w:vAlign w:val="bottom"/>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r>
      <w:tr>
        <w:trPr>
          <w:trHeight w:val="210"/>
        </w:trPr>
        <w:tc>
          <w:tcPr>
            <w:tcW w:w="8520" w:type="dxa"/>
            <w:vAlign w:val="bottom"/>
            <w:tcBorders>
              <w:top w:val="single" w:sz="8" w:color="D5E6F7"/>
              <w:bottom w:val="single" w:sz="8" w:color="D5E6F7"/>
            </w:tcBorders>
            <w:shd w:val="clear" w:color="auto" w:fill="D5E6F7"/>
          </w:tcPr>
          <w:p>
            <w:pPr>
              <w:ind w:left="160"/>
              <w:spacing w:after="0"/>
              <w:rPr>
                <w:sz w:val="20"/>
                <w:szCs w:val="20"/>
                <w:color w:val="auto"/>
              </w:rPr>
            </w:pPr>
            <w:r>
              <w:rPr>
                <w:rFonts w:ascii="Arial" w:cs="Arial" w:eastAsia="Arial" w:hAnsi="Arial"/>
                <w:sz w:val="18"/>
                <w:szCs w:val="18"/>
                <w:color w:val="auto"/>
              </w:rPr>
              <w:t>Net assets acquired</w:t>
            </w:r>
          </w:p>
        </w:tc>
        <w:tc>
          <w:tcPr>
            <w:tcW w:w="540" w:type="dxa"/>
            <w:vAlign w:val="bottom"/>
            <w:tcBorders>
              <w:top w:val="single" w:sz="8" w:color="auto"/>
              <w:bottom w:val="single" w:sz="8" w:color="auto"/>
            </w:tcBorders>
            <w:shd w:val="clear" w:color="auto" w:fill="D5E6F7"/>
          </w:tcPr>
          <w:p>
            <w:pPr>
              <w:jc w:val="right"/>
              <w:ind w:right="3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7,721</w:t>
            </w:r>
          </w:p>
        </w:tc>
        <w:tc>
          <w:tcPr>
            <w:tcW w:w="120" w:type="dxa"/>
            <w:vAlign w:val="bottom"/>
            <w:tcBorders>
              <w:top w:val="single" w:sz="8" w:color="D5E6F7"/>
              <w:bottom w:val="single" w:sz="8" w:color="D5E6F7"/>
            </w:tcBorders>
            <w:shd w:val="clear" w:color="auto" w:fill="D5E6F7"/>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Intangible assets acquired consisted of customer relationships of $5.8 million and trade names of $0.3 million. The acquisition of Broadsmart was treated as an asset purchase for income tax purposes, and therefore, the transaction did not result in the recording of deferred taxes as the Company's tax basis in the acquired assets equaled its book basis. The resulting goodwill from this acquisition was deductible for U.S. income tax purposes.</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Note 14: Net Loss Per Share</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and diluted net loss per share of common stock is calculated by dividing the net loss allocable to common stockholders by the weighted-average number of common shares outstanding during the period. Diluted net loss per share of common stock is the same as basic net loss per share because the effects of potentially dilutive securities are antidilutive because the Company reported net losses for all periods presented.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4680" w:type="dxa"/>
            <w:vAlign w:val="bottom"/>
            <w:tcBorders>
              <w:bottom w:val="single" w:sz="8" w:color="D5E6F7"/>
            </w:tcBorders>
          </w:tcPr>
          <w:p>
            <w:pPr>
              <w:spacing w:after="0"/>
              <w:rPr>
                <w:sz w:val="19"/>
                <w:szCs w:val="19"/>
                <w:color w:val="auto"/>
              </w:rPr>
            </w:pPr>
          </w:p>
        </w:tc>
        <w:tc>
          <w:tcPr>
            <w:tcW w:w="1740" w:type="dxa"/>
            <w:vAlign w:val="bottom"/>
            <w:tcBorders>
              <w:bottom w:val="single" w:sz="8" w:color="D5E6F7"/>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D5E6F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D5E6F7"/>
            </w:tcBorders>
          </w:tcPr>
          <w:p>
            <w:pPr>
              <w:spacing w:after="0"/>
              <w:rPr>
                <w:sz w:val="19"/>
                <w:szCs w:val="19"/>
                <w:color w:val="auto"/>
              </w:rPr>
            </w:pPr>
          </w:p>
        </w:tc>
        <w:tc>
          <w:tcPr>
            <w:tcW w:w="100" w:type="dxa"/>
            <w:vAlign w:val="bottom"/>
            <w:tcBorders>
              <w:bottom w:val="single" w:sz="8" w:color="D5E6F7"/>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5E6F7"/>
            </w:tcBorders>
          </w:tcPr>
          <w:p>
            <w:pPr>
              <w:spacing w:after="0"/>
              <w:rPr>
                <w:sz w:val="19"/>
                <w:szCs w:val="19"/>
                <w:color w:val="auto"/>
              </w:rPr>
            </w:pPr>
          </w:p>
        </w:tc>
      </w:tr>
      <w:tr>
        <w:trPr>
          <w:trHeight w:val="211"/>
        </w:trPr>
        <w:tc>
          <w:tcPr>
            <w:tcW w:w="4680" w:type="dxa"/>
            <w:vAlign w:val="bottom"/>
            <w:shd w:val="clear" w:color="auto" w:fill="D5E6F7"/>
          </w:tcPr>
          <w:p>
            <w:pPr>
              <w:spacing w:after="0"/>
              <w:rPr>
                <w:sz w:val="20"/>
                <w:szCs w:val="20"/>
                <w:color w:val="auto"/>
              </w:rPr>
            </w:pPr>
            <w:r>
              <w:rPr>
                <w:rFonts w:ascii="Arial" w:cs="Arial" w:eastAsia="Arial" w:hAnsi="Arial"/>
                <w:sz w:val="18"/>
                <w:szCs w:val="18"/>
                <w:color w:val="auto"/>
              </w:rPr>
              <w:t>Numerator</w:t>
            </w:r>
          </w:p>
        </w:tc>
        <w:tc>
          <w:tcPr>
            <w:tcW w:w="17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0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46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(1,751)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(2,441)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(18,801)</w:t>
            </w:r>
          </w:p>
        </w:tc>
      </w:tr>
      <w:tr>
        <w:trPr>
          <w:trHeight w:val="216"/>
        </w:trPr>
        <w:tc>
          <w:tcPr>
            <w:tcW w:w="4680" w:type="dxa"/>
            <w:vAlign w:val="bottom"/>
            <w:shd w:val="clear" w:color="auto" w:fill="D5E6F7"/>
          </w:tcPr>
          <w:p>
            <w:pPr>
              <w:spacing w:after="0"/>
              <w:rPr>
                <w:sz w:val="20"/>
                <w:szCs w:val="20"/>
                <w:color w:val="auto"/>
              </w:rPr>
            </w:pPr>
            <w:r>
              <w:rPr>
                <w:rFonts w:ascii="Arial" w:cs="Arial" w:eastAsia="Arial" w:hAnsi="Arial"/>
                <w:sz w:val="18"/>
                <w:szCs w:val="18"/>
                <w:color w:val="auto"/>
              </w:rPr>
              <w:t>Denominator</w:t>
            </w:r>
          </w:p>
        </w:tc>
        <w:tc>
          <w:tcPr>
            <w:tcW w:w="17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10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4680" w:type="dxa"/>
            <w:vAlign w:val="bottom"/>
            <w:tcBorders>
              <w:bottom w:val="single" w:sz="8" w:color="D5E6F7"/>
            </w:tcBorders>
          </w:tcPr>
          <w:p>
            <w:pPr>
              <w:ind w:left="140"/>
              <w:spacing w:after="0"/>
              <w:rPr>
                <w:sz w:val="20"/>
                <w:szCs w:val="20"/>
                <w:color w:val="auto"/>
              </w:rPr>
            </w:pPr>
            <w:r>
              <w:rPr>
                <w:rFonts w:ascii="Arial" w:cs="Arial" w:eastAsia="Arial" w:hAnsi="Arial"/>
                <w:sz w:val="18"/>
                <w:szCs w:val="18"/>
                <w:color w:val="auto"/>
              </w:rPr>
              <w:t>Weighted-average common shares</w:t>
            </w:r>
          </w:p>
        </w:tc>
        <w:tc>
          <w:tcPr>
            <w:tcW w:w="174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23,473,849</w:t>
            </w:r>
          </w:p>
        </w:tc>
        <w:tc>
          <w:tcPr>
            <w:tcW w:w="280" w:type="dxa"/>
            <w:vAlign w:val="bottom"/>
            <w:tcBorders>
              <w:bottom w:val="single" w:sz="8" w:color="D5E6F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22,361,312</w:t>
            </w:r>
          </w:p>
        </w:tc>
        <w:tc>
          <w:tcPr>
            <w:tcW w:w="140" w:type="dxa"/>
            <w:vAlign w:val="bottom"/>
            <w:tcBorders>
              <w:bottom w:val="single" w:sz="8" w:color="D5E6F7"/>
            </w:tcBorders>
          </w:tcPr>
          <w:p>
            <w:pPr>
              <w:spacing w:after="0"/>
              <w:rPr>
                <w:sz w:val="18"/>
                <w:szCs w:val="18"/>
                <w:color w:val="auto"/>
              </w:rPr>
            </w:pPr>
          </w:p>
        </w:tc>
        <w:tc>
          <w:tcPr>
            <w:tcW w:w="100" w:type="dxa"/>
            <w:vAlign w:val="bottom"/>
            <w:tcBorders>
              <w:bottom w:val="single" w:sz="8" w:color="D5E6F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21,051,039</w:t>
            </w:r>
          </w:p>
        </w:tc>
        <w:tc>
          <w:tcPr>
            <w:tcW w:w="100" w:type="dxa"/>
            <w:vAlign w:val="bottom"/>
            <w:tcBorders>
              <w:bottom w:val="single" w:sz="8" w:color="D5E6F7"/>
            </w:tcBorders>
          </w:tcPr>
          <w:p>
            <w:pPr>
              <w:spacing w:after="0"/>
              <w:rPr>
                <w:sz w:val="18"/>
                <w:szCs w:val="18"/>
                <w:color w:val="auto"/>
              </w:rPr>
            </w:pPr>
          </w:p>
        </w:tc>
      </w:tr>
      <w:tr>
        <w:trPr>
          <w:trHeight w:val="210"/>
        </w:trPr>
        <w:tc>
          <w:tcPr>
            <w:tcW w:w="4680" w:type="dxa"/>
            <w:vAlign w:val="bottom"/>
            <w:tcBorders>
              <w:bottom w:val="single" w:sz="8" w:color="D5E6F7"/>
            </w:tcBorders>
            <w:shd w:val="clear" w:color="auto" w:fill="D5E6F7"/>
          </w:tcPr>
          <w:p>
            <w:pPr>
              <w:spacing w:after="0"/>
              <w:rPr>
                <w:sz w:val="20"/>
                <w:szCs w:val="20"/>
                <w:color w:val="auto"/>
              </w:rPr>
            </w:pPr>
            <w:r>
              <w:rPr>
                <w:rFonts w:ascii="Arial" w:cs="Arial" w:eastAsia="Arial" w:hAnsi="Arial"/>
                <w:sz w:val="18"/>
                <w:szCs w:val="18"/>
                <w:color w:val="auto"/>
              </w:rPr>
              <w:t>Basic and diluted net loss per share</w:t>
            </w:r>
          </w:p>
        </w:tc>
        <w:tc>
          <w:tcPr>
            <w:tcW w:w="17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Borders>
              <w:bottom w:val="single" w:sz="8" w:color="D5E6F7"/>
            </w:tcBorders>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D5E6F7"/>
            </w:tcBorders>
            <w:shd w:val="clear" w:color="auto" w:fill="D5E6F7"/>
          </w:tcPr>
          <w:p>
            <w:pPr>
              <w:spacing w:after="0"/>
              <w:rPr>
                <w:sz w:val="18"/>
                <w:szCs w:val="18"/>
                <w:color w:val="auto"/>
              </w:rPr>
            </w:pPr>
          </w:p>
        </w:tc>
        <w:tc>
          <w:tcPr>
            <w:tcW w:w="1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Potentially dilutive securities of approximately 2.8 million, 3.3 million and 3.2 million were excluded from the computation of diluted net loss per share for fiscal 2022, 2021 and 2020, respectively. These shares include the Company’s outstanding RSUs, outstanding stock options and shares to be purchased under the ESPP at the end of the respective purchase period. In the event the Company reported net income for the periods presented, a portion of these outstanding securities would be reflected in weighted-average shares outstanding for diluted earnings per share by application of the treasury method.</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Note 15: Retirement Plan</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offers a qualified 401(k) defined contribution plan to eligible full-time employees that provides for discretionary employer matching and profit-sharing contributions. The Company matches the lower of 50% of employee contributions or 50% of the first 6% of each employee’s eligible compensation that is contributed to the 401(k) plan. Contributions made by the Company vest 100% upon contribution and are expensed as incurred as compensation costs. The Company’s matching contributions to the plan were $0.7 million for each of the fiscal years 2022, 2021 and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evaluated the effectiveness of our disclosure controls and procedures as of January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31, 2022, our chief executive officer and chief financial officer concluded that, as of such date, our disclosure controls and procedures were effective at the reasonable assurance level.</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Management's Annual Report on Internal Control Over Financial Reporting. </w:t>
      </w:r>
      <w:r>
        <w:rPr>
          <w:rFonts w:ascii="Arial" w:cs="Arial" w:eastAsia="Arial" w:hAnsi="Arial"/>
          <w:sz w:val="18"/>
          <w:szCs w:val="18"/>
          <w:color w:val="auto"/>
        </w:rPr>
        <w:t>Our management is responsible for establishing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maintaining adequate internal control over financial reporting (as defined in Rule 13a-15(f) under the Exchange Act). Management conducted an assessment of the effectiveness of our internal control over financial reporting based on the criteria set forth in Internal Control – Integrated Framework issued by the Committee of Sponsoring Organizations of the Treadway Commission (2013 framework). Based on the assessment, management has concluded that its internal control over financial reporting was effective as of January 31, 2022 to provide reasonable assurance regarding the reliability of financial reporting and the preparation of financial statements in accordance with U.S. GAAP. The effectiveness of our internal control over financial reporting as of January 31, 2022 has been audited by KPMG LLP, an independent registered public accounting firm, as stated in their report which appears in Item 8 of this Annual Report on Form 10-K.</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evaluation required by Rule 13a-15(d) and 15d-15(d) of the Exchange Act that occurred during the quarter ended January 31, 2022 that have materially affected, or are reasonably likely to materially affect, our internal control over financial reporting. We have not experienced any significant impact to our internal controls over financial reporting despite the fact that most of our employees who are involved in our financial reporting processes and controls are continuing to work remotely.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Inherent Limitations on Effectiveness of Controls. </w:t>
      </w:r>
      <w:r>
        <w:rPr>
          <w:rFonts w:ascii="Arial" w:cs="Arial" w:eastAsia="Arial" w:hAnsi="Arial"/>
          <w:sz w:val="18"/>
          <w:szCs w:val="18"/>
          <w:color w:val="auto"/>
        </w:rPr>
        <w:t>Because of inherent limitations, internal control over financial reporting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003A5D"/>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information required by this item will be included under the caption “Directors, Executive Officers and Corporate Governance” in our Proxy Statement for the 2022 Annual Meeting of Stockholders to be filed with the SEC within 120 days of the fiscal year ended January 31, 2022, which we refer to as our 2022 Proxy Statement, and is incorporated herein by reference. The Company has a “Code of Ethics and Business Conduct for Employees, Officers and Directors” that applies to all of our employees, including our Principal Executive Officer, Principal Financial Officer, Principal Accounting Officer and our Board of Directors. A copy of this code is available on our website at http://investors.ooma.com. We intend to satisfy the disclosure requirement under Item 5.05 of Form 8-K regarding amendment to, or waiver from, a provision of our Code of Ethics and Business Conduct for Employees, Officers and Directors by posting such information on our investor relations website under the heading “Corporate Governance—Governance Documents” at http://investors.ooma.com.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by this item will be included under the captions “Executive Compensation” and under the subheadings “Board’s Role in Risk Oversight, “Outside Director Compensation,” and “Compensation Committee Interlocks and Insider Participation” under the heading “Directors, Executive Officers and Corporate Governance” in the 2022 Proxy Statement and is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by this item will be included under the captions “Security Ownership of Certain Beneficial Owners and Management” and under the subheading “Potential Payments upon Termination or Change in Control” and “Equity Compensation Plan Information” under the heading “Executive Compensation” in the 2022 Proxy Statement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by this item will be included under the captions “Certain Relationships and Related Transactions” and “Directors, Executive Officers and Corporate Governance—Director Independence” in the 2022 Proxy Statement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will be included under the caption “Proposal Two: Ratification of Selection of Independent Registered Public Accountants” in the 2022 Proxy Statement and is incorporated herein by reference.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2"/>
          <w:szCs w:val="22"/>
          <w:b w:val="1"/>
          <w:bCs w:val="1"/>
          <w:color w:val="003A5D"/>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Documents filed as part of this report are as follows:</w:t>
      </w:r>
    </w:p>
    <w:p>
      <w:pPr>
        <w:spacing w:after="0" w:line="104"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listed in the “Index” Under Part II, Item 8 of this Annual Report on Form 10-K</w:t>
      </w:r>
    </w:p>
    <w:p>
      <w:pPr>
        <w:spacing w:after="0" w:line="104"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46"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exhibits filed or incorporated by reference as part of this Annual Report on Form 10 -K are listed in the Exhibit Index below. We have identified in the Exhibit Index each management contract and compensation plan filed as an exhibit to this Annual Report on Form 10-K in response to Item 15(a)(3) of Form 10-K.</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documents listed in the Exhibit Index of this report are incorporated by reference or are filed with this Annual Report on Form 10-K, in each case as indicated therein (numbered in accordance with Item 601 of Regulation S-K).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13"/>
          </w:tcPr>
          <w:p>
            <w:pPr>
              <w:ind w:left="260"/>
              <w:spacing w:after="0"/>
              <w:rPr>
                <w:sz w:val="20"/>
                <w:szCs w:val="20"/>
                <w:color w:val="auto"/>
              </w:rPr>
            </w:pPr>
            <w:r>
              <w:rPr>
                <w:rFonts w:ascii="Arial" w:cs="Arial" w:eastAsia="Arial" w:hAnsi="Arial"/>
                <w:sz w:val="16"/>
                <w:szCs w:val="16"/>
                <w:b w:val="1"/>
                <w:bCs w:val="1"/>
                <w:color w:val="auto"/>
              </w:rPr>
              <w:t>EXHIBITS</w:t>
            </w:r>
          </w:p>
        </w:tc>
      </w:tr>
      <w:tr>
        <w:trPr>
          <w:trHeight w:val="817"/>
        </w:trPr>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17"/>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58"/>
        </w:trPr>
        <w:tc>
          <w:tcPr>
            <w:tcW w:w="11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24">
              <w:r>
                <w:rPr>
                  <w:rFonts w:ascii="Arial" w:cs="Arial" w:eastAsia="Arial" w:hAnsi="Arial"/>
                  <w:sz w:val="16"/>
                  <w:szCs w:val="16"/>
                  <w:color w:val="0000EE"/>
                </w:rPr>
                <w:t>Amended and Restated Certification of Incorporation</w:t>
              </w:r>
            </w:hyperlink>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6"/>
          </w:tcPr>
          <w:p>
            <w:pPr>
              <w:spacing w:after="0"/>
              <w:rPr>
                <w:rFonts w:ascii="Arial" w:cs="Arial" w:eastAsia="Arial" w:hAnsi="Arial"/>
                <w:sz w:val="16"/>
                <w:szCs w:val="16"/>
                <w:color w:val="0000EE"/>
              </w:rPr>
            </w:pPr>
            <w:hyperlink r:id="rId125">
              <w:r>
                <w:rPr>
                  <w:rFonts w:ascii="Arial" w:cs="Arial" w:eastAsia="Arial" w:hAnsi="Arial"/>
                  <w:sz w:val="16"/>
                  <w:szCs w:val="16"/>
                  <w:color w:val="0000EE"/>
                </w:rPr>
                <w:t>Amended and Restated Bylaws</w:t>
              </w:r>
            </w:hyperlink>
          </w:p>
        </w:tc>
        <w:tc>
          <w:tcPr>
            <w:tcW w:w="1500" w:type="dxa"/>
            <w:vAlign w:val="bottom"/>
            <w:tcBorders>
              <w:top w:val="single" w:sz="8" w:color="0000EE"/>
            </w:tcBorders>
            <w:gridSpan w:val="7"/>
          </w:tcPr>
          <w:p>
            <w:pPr>
              <w:spacing w:after="0"/>
              <w:rPr>
                <w:sz w:val="24"/>
                <w:szCs w:val="24"/>
                <w:color w:val="auto"/>
              </w:rPr>
            </w:pPr>
          </w:p>
        </w:tc>
        <w:tc>
          <w:tcPr>
            <w:tcW w:w="1860" w:type="dxa"/>
            <w:vAlign w:val="bottom"/>
            <w:gridSpan w:val="13"/>
          </w:tcPr>
          <w:p>
            <w:pPr>
              <w:spacing w:after="0"/>
              <w:rPr>
                <w:sz w:val="24"/>
                <w:szCs w:val="24"/>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26">
              <w:r>
                <w:rPr>
                  <w:rFonts w:ascii="Arial" w:cs="Arial" w:eastAsia="Arial" w:hAnsi="Arial"/>
                  <w:sz w:val="16"/>
                  <w:szCs w:val="16"/>
                  <w:color w:val="0000EE"/>
                </w:rPr>
                <w:t>Form of common stock certificate.</w:t>
              </w:r>
            </w:hyperlink>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4"/>
          </w:tcPr>
          <w:p>
            <w:pPr>
              <w:spacing w:after="0"/>
              <w:rPr>
                <w:rFonts w:ascii="Arial" w:cs="Arial" w:eastAsia="Arial" w:hAnsi="Arial"/>
                <w:sz w:val="16"/>
                <w:szCs w:val="16"/>
                <w:color w:val="0000EE"/>
              </w:rPr>
            </w:pPr>
            <w:hyperlink r:id="rId127">
              <w:r>
                <w:rPr>
                  <w:rFonts w:ascii="Arial" w:cs="Arial" w:eastAsia="Arial" w:hAnsi="Arial"/>
                  <w:sz w:val="16"/>
                  <w:szCs w:val="16"/>
                  <w:color w:val="0000EE"/>
                </w:rPr>
                <w:t>Form of Senior Indenture</w:t>
              </w:r>
            </w:hyperlink>
          </w:p>
        </w:tc>
        <w:tc>
          <w:tcPr>
            <w:tcW w:w="620" w:type="dxa"/>
            <w:vAlign w:val="bottom"/>
            <w:tcBorders>
              <w:top w:val="single" w:sz="8" w:color="0000EE"/>
            </w:tcBorders>
            <w:gridSpan w:val="6"/>
          </w:tcPr>
          <w:p>
            <w:pPr>
              <w:spacing w:after="0"/>
              <w:rPr>
                <w:sz w:val="24"/>
                <w:szCs w:val="24"/>
                <w:color w:val="auto"/>
              </w:rPr>
            </w:pPr>
          </w:p>
        </w:tc>
        <w:tc>
          <w:tcPr>
            <w:tcW w:w="3200" w:type="dxa"/>
            <w:vAlign w:val="bottom"/>
            <w:gridSpan w:val="16"/>
          </w:tcPr>
          <w:p>
            <w:pPr>
              <w:spacing w:after="0"/>
              <w:rPr>
                <w:sz w:val="24"/>
                <w:szCs w:val="24"/>
                <w:color w:val="auto"/>
              </w:rPr>
            </w:pPr>
          </w:p>
        </w:tc>
      </w:tr>
      <w:tr>
        <w:trPr>
          <w:trHeight w:val="291"/>
        </w:trPr>
        <w:tc>
          <w:tcPr>
            <w:tcW w:w="114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Arial" w:cs="Arial" w:eastAsia="Arial" w:hAnsi="Arial"/>
                <w:sz w:val="16"/>
                <w:szCs w:val="16"/>
                <w:color w:val="0000EE"/>
              </w:rPr>
            </w:pPr>
            <w:hyperlink r:id="rId128">
              <w:r>
                <w:rPr>
                  <w:rFonts w:ascii="Arial" w:cs="Arial" w:eastAsia="Arial" w:hAnsi="Arial"/>
                  <w:sz w:val="16"/>
                  <w:szCs w:val="16"/>
                  <w:color w:val="0000EE"/>
                </w:rPr>
                <w:t>Form of Subordinated Indenture</w:t>
              </w:r>
            </w:hyperlink>
          </w:p>
        </w:tc>
        <w:tc>
          <w:tcPr>
            <w:tcW w:w="3300" w:type="dxa"/>
            <w:vAlign w:val="bottom"/>
            <w:gridSpan w:val="17"/>
          </w:tcPr>
          <w:p>
            <w:pPr>
              <w:spacing w:after="0"/>
              <w:rPr>
                <w:sz w:val="24"/>
                <w:szCs w:val="24"/>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29">
              <w:r>
                <w:rPr>
                  <w:rFonts w:ascii="Arial" w:cs="Arial" w:eastAsia="Arial" w:hAnsi="Arial"/>
                  <w:sz w:val="16"/>
                  <w:szCs w:val="16"/>
                  <w:color w:val="0000EE"/>
                </w:rPr>
                <w:t>Description of Securities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140" w:type="dxa"/>
            <w:vAlign w:val="bottom"/>
          </w:tcPr>
          <w:p>
            <w:pPr>
              <w:jc w:val="center"/>
              <w:spacing w:after="0"/>
              <w:rPr>
                <w:sz w:val="20"/>
                <w:szCs w:val="20"/>
                <w:color w:val="auto"/>
              </w:rPr>
            </w:pPr>
            <w:r>
              <w:rPr>
                <w:rFonts w:ascii="Arial" w:cs="Arial" w:eastAsia="Arial" w:hAnsi="Arial"/>
                <w:sz w:val="16"/>
                <w:szCs w:val="16"/>
                <w:color w:val="auto"/>
                <w:w w:val="98"/>
              </w:rPr>
              <w:t>10.1+</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0">
              <w:r>
                <w:rPr>
                  <w:rFonts w:ascii="Arial" w:cs="Arial" w:eastAsia="Arial" w:hAnsi="Arial"/>
                  <w:sz w:val="16"/>
                  <w:szCs w:val="16"/>
                  <w:color w:val="0000EE"/>
                </w:rPr>
                <w:t>2005 Stock Incentive Plan and forms of agreements thereunder.</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10.2+</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1">
              <w:r>
                <w:rPr>
                  <w:rFonts w:ascii="Arial" w:cs="Arial" w:eastAsia="Arial" w:hAnsi="Arial"/>
                  <w:sz w:val="16"/>
                  <w:szCs w:val="16"/>
                  <w:color w:val="0000EE"/>
                </w:rPr>
                <w:t>2015 Equity Incentive Plan and forms of agreements thereunder.</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10.3+</w:t>
            </w:r>
          </w:p>
        </w:tc>
        <w:tc>
          <w:tcPr>
            <w:tcW w:w="100" w:type="dxa"/>
            <w:vAlign w:val="bottom"/>
          </w:tcPr>
          <w:p>
            <w:pPr>
              <w:spacing w:after="0"/>
              <w:rPr>
                <w:sz w:val="24"/>
                <w:szCs w:val="24"/>
                <w:color w:val="auto"/>
              </w:rPr>
            </w:pPr>
          </w:p>
        </w:tc>
        <w:tc>
          <w:tcPr>
            <w:tcW w:w="5220" w:type="dxa"/>
            <w:vAlign w:val="bottom"/>
            <w:tcBorders>
              <w:bottom w:val="single" w:sz="8" w:color="0000EE"/>
            </w:tcBorders>
            <w:gridSpan w:val="17"/>
          </w:tcPr>
          <w:p>
            <w:pPr>
              <w:spacing w:after="0"/>
              <w:rPr>
                <w:rFonts w:ascii="Arial" w:cs="Arial" w:eastAsia="Arial" w:hAnsi="Arial"/>
                <w:sz w:val="16"/>
                <w:szCs w:val="16"/>
                <w:color w:val="0000EE"/>
              </w:rPr>
            </w:pPr>
            <w:hyperlink r:id="rId132">
              <w:r>
                <w:rPr>
                  <w:rFonts w:ascii="Arial" w:cs="Arial" w:eastAsia="Arial" w:hAnsi="Arial"/>
                  <w:sz w:val="16"/>
                  <w:szCs w:val="16"/>
                  <w:color w:val="0000EE"/>
                </w:rPr>
                <w:t>2015 Employee Stock Purchase Plan and form of agreement thereunder.</w:t>
              </w:r>
            </w:hyperlink>
          </w:p>
        </w:tc>
        <w:tc>
          <w:tcPr>
            <w:tcW w:w="400" w:type="dxa"/>
            <w:vAlign w:val="bottom"/>
            <w:gridSpan w:val="9"/>
          </w:tcPr>
          <w:p>
            <w:pPr>
              <w:spacing w:after="0"/>
              <w:rPr>
                <w:sz w:val="24"/>
                <w:szCs w:val="24"/>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10.4+</w:t>
            </w:r>
          </w:p>
        </w:tc>
        <w:tc>
          <w:tcPr>
            <w:tcW w:w="10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Arial" w:cs="Arial" w:eastAsia="Arial" w:hAnsi="Arial"/>
                <w:sz w:val="16"/>
                <w:szCs w:val="16"/>
                <w:color w:val="0000EE"/>
              </w:rPr>
            </w:pPr>
            <w:hyperlink r:id="rId133">
              <w:r>
                <w:rPr>
                  <w:rFonts w:ascii="Arial" w:cs="Arial" w:eastAsia="Arial" w:hAnsi="Arial"/>
                  <w:sz w:val="16"/>
                  <w:szCs w:val="16"/>
                  <w:color w:val="0000EE"/>
                </w:rPr>
                <w:t>Executive Incentive Bonus Plan.</w:t>
              </w:r>
            </w:hyperlink>
          </w:p>
        </w:tc>
        <w:tc>
          <w:tcPr>
            <w:tcW w:w="3300" w:type="dxa"/>
            <w:vAlign w:val="bottom"/>
            <w:gridSpan w:val="17"/>
          </w:tcPr>
          <w:p>
            <w:pPr>
              <w:spacing w:after="0"/>
              <w:rPr>
                <w:sz w:val="24"/>
                <w:szCs w:val="24"/>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8"/>
              </w:rPr>
              <w:t>10.5+</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4">
              <w:r>
                <w:rPr>
                  <w:rFonts w:ascii="Arial" w:cs="Arial" w:eastAsia="Arial" w:hAnsi="Arial"/>
                  <w:sz w:val="16"/>
                  <w:szCs w:val="16"/>
                  <w:color w:val="0000EE"/>
                </w:rPr>
                <w:t>Executive Change in Control and Severance Agreement by and between the</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Company and Eric B. Stang, dated June 9, 2015.</w:t>
              </w:r>
            </w:hyperlink>
          </w:p>
        </w:tc>
        <w:tc>
          <w:tcPr>
            <w:tcW w:w="1960" w:type="dxa"/>
            <w:vAlign w:val="bottom"/>
            <w:tcBorders>
              <w:top w:val="single" w:sz="8" w:color="0000EE"/>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72"/>
        </w:trPr>
        <w:tc>
          <w:tcPr>
            <w:tcW w:w="1140" w:type="dxa"/>
            <w:vAlign w:val="bottom"/>
          </w:tcPr>
          <w:p>
            <w:pPr>
              <w:jc w:val="right"/>
              <w:ind w:right="2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5">
              <w:r>
                <w:rPr>
                  <w:rFonts w:ascii="Arial" w:cs="Arial" w:eastAsia="Arial" w:hAnsi="Arial"/>
                  <w:sz w:val="16"/>
                  <w:szCs w:val="16"/>
                  <w:color w:val="0000EE"/>
                </w:rPr>
                <w:t>Offer Letter by and between the Company and James A. Gustke, dated July</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8"/>
              </w:rPr>
            </w:pPr>
            <w:hyperlink r:id="rId135">
              <w:r>
                <w:rPr>
                  <w:rFonts w:ascii="Arial" w:cs="Arial" w:eastAsia="Arial" w:hAnsi="Arial"/>
                  <w:sz w:val="16"/>
                  <w:szCs w:val="16"/>
                  <w:color w:val="0000EE"/>
                  <w:w w:val="98"/>
                </w:rPr>
                <w:t>30, 2010.</w:t>
              </w:r>
            </w:hyperlink>
          </w:p>
        </w:tc>
        <w:tc>
          <w:tcPr>
            <w:tcW w:w="80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6">
              <w:r>
                <w:rPr>
                  <w:rFonts w:ascii="Arial" w:cs="Arial" w:eastAsia="Arial" w:hAnsi="Arial"/>
                  <w:sz w:val="16"/>
                  <w:szCs w:val="16"/>
                  <w:color w:val="0000EE"/>
                </w:rPr>
                <w:t>Change in Control Letter Agreement between the Company and James A.</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Gustke, dated August 31, 2016.</w:t>
              </w:r>
            </w:hyperlink>
          </w:p>
        </w:tc>
        <w:tc>
          <w:tcPr>
            <w:tcW w:w="300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7">
              <w:r>
                <w:rPr>
                  <w:rFonts w:ascii="Arial" w:cs="Arial" w:eastAsia="Arial" w:hAnsi="Arial"/>
                  <w:sz w:val="16"/>
                  <w:szCs w:val="16"/>
                  <w:color w:val="0000EE"/>
                </w:rPr>
                <w:t>Form of Indemnification Agreement between the Registrant and each of its</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directors and executive officers.</w:t>
              </w:r>
            </w:hyperlink>
          </w:p>
        </w:tc>
        <w:tc>
          <w:tcPr>
            <w:tcW w:w="3060" w:type="dxa"/>
            <w:vAlign w:val="bottom"/>
            <w:tcBorders>
              <w:top w:val="single" w:sz="8" w:color="0000EE"/>
            </w:tcBorders>
            <w:gridSpan w:val="14"/>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85"/>
        </w:trPr>
        <w:tc>
          <w:tcPr>
            <w:tcW w:w="1140" w:type="dxa"/>
            <w:vAlign w:val="bottom"/>
          </w:tcPr>
          <w:p>
            <w:pPr>
              <w:jc w:val="right"/>
              <w:ind w:right="2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8">
              <w:r>
                <w:rPr>
                  <w:rFonts w:ascii="Arial" w:cs="Arial" w:eastAsia="Arial" w:hAnsi="Arial"/>
                  <w:sz w:val="16"/>
                  <w:szCs w:val="16"/>
                  <w:color w:val="0000EE"/>
                </w:rPr>
                <w:t>Form of Restricted Stock Unit Agreement under the 2015 Equity Incentive</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6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Plan (effective for grants made on or after March 14, 2018).</w:t>
              </w:r>
            </w:hyperlink>
          </w:p>
        </w:tc>
        <w:tc>
          <w:tcPr>
            <w:tcW w:w="1020" w:type="dxa"/>
            <w:vAlign w:val="bottom"/>
            <w:tcBorders>
              <w:top w:val="single" w:sz="8" w:color="0000EE"/>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39">
              <w:r>
                <w:rPr>
                  <w:rFonts w:ascii="Arial" w:cs="Arial" w:eastAsia="Arial" w:hAnsi="Arial"/>
                  <w:sz w:val="16"/>
                  <w:szCs w:val="16"/>
                  <w:color w:val="0000EE"/>
                </w:rPr>
                <w:t>Sublease Agreement dated as of August 6, 2019 by and among the Company</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and Alibaba Group (U.S.) Inc.</w:t>
              </w:r>
            </w:hyperlink>
          </w:p>
        </w:tc>
        <w:tc>
          <w:tcPr>
            <w:tcW w:w="4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40">
              <w:r>
                <w:rPr>
                  <w:rFonts w:ascii="Arial" w:cs="Arial" w:eastAsia="Arial" w:hAnsi="Arial"/>
                  <w:sz w:val="16"/>
                  <w:szCs w:val="16"/>
                  <w:color w:val="0000EE"/>
                </w:rPr>
                <w:t>Credit and Security Agreement by and among the Company and KeyBank</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National Association, dated as of January 8, 2021</w:t>
              </w:r>
            </w:hyperlink>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16"/>
                <w:szCs w:val="16"/>
                <w:color w:val="auto"/>
                <w:w w:val="99"/>
              </w:rPr>
              <w:t>10.12</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r:id="rId141">
              <w:r>
                <w:rPr>
                  <w:rFonts w:ascii="Arial" w:cs="Arial" w:eastAsia="Arial" w:hAnsi="Arial"/>
                  <w:sz w:val="16"/>
                  <w:szCs w:val="16"/>
                  <w:color w:val="0000EE"/>
                </w:rPr>
                <w:t>First Amendment to the Sublease Agreement by and among the Company</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and Alibaba Group (U.S.) Inc.</w:t>
              </w:r>
            </w:hyperlink>
          </w:p>
        </w:tc>
        <w:tc>
          <w:tcPr>
            <w:tcW w:w="22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420" w:type="dxa"/>
            <w:vAlign w:val="bottom"/>
            <w:gridSpan w:val="1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1140" w:type="dxa"/>
            <w:vAlign w:val="bottom"/>
          </w:tcPr>
          <w:p>
            <w:pPr>
              <w:jc w:val="center"/>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4"/>
                <w:szCs w:val="24"/>
                <w:color w:val="auto"/>
              </w:rPr>
            </w:pPr>
          </w:p>
        </w:tc>
        <w:tc>
          <w:tcPr>
            <w:tcW w:w="5620" w:type="dxa"/>
            <w:vAlign w:val="bottom"/>
            <w:gridSpan w:val="26"/>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Transition and Consulting Agreement between the Company and Ravi Narula</w:t>
              </w:r>
            </w:hyperlink>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w:anchor="page91">
              <w:r>
                <w:rPr>
                  <w:rFonts w:ascii="Arial" w:cs="Arial" w:eastAsia="Arial" w:hAnsi="Arial"/>
                  <w:sz w:val="16"/>
                  <w:szCs w:val="16"/>
                  <w:color w:val="0000EE"/>
                </w:rPr>
                <w:t>dated June 15, 2021</w:t>
              </w:r>
            </w:hyperlink>
          </w:p>
        </w:tc>
        <w:tc>
          <w:tcPr>
            <w:tcW w:w="4060" w:type="dxa"/>
            <w:vAlign w:val="bottom"/>
            <w:tcBorders>
              <w:top w:val="single" w:sz="8" w:color="0000EE"/>
            </w:tcBorders>
            <w:gridSpan w:val="22"/>
          </w:tcPr>
          <w:p>
            <w:pPr>
              <w:spacing w:after="0"/>
              <w:rPr>
                <w:sz w:val="14"/>
                <w:szCs w:val="14"/>
                <w:color w:val="auto"/>
              </w:rPr>
            </w:pPr>
          </w:p>
        </w:tc>
        <w:tc>
          <w:tcPr>
            <w:tcW w:w="80" w:type="dxa"/>
            <w:vAlign w:val="bottom"/>
            <w:gridSpan w:val="2"/>
          </w:tcPr>
          <w:p>
            <w:pPr>
              <w:spacing w:after="0"/>
              <w:rPr>
                <w:sz w:val="14"/>
                <w:szCs w:val="14"/>
                <w:color w:val="auto"/>
              </w:rPr>
            </w:pPr>
          </w:p>
        </w:tc>
      </w:tr>
    </w:tbl>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7343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1380" w:type="dxa"/>
            <w:vAlign w:val="bottom"/>
          </w:tcPr>
          <w:p>
            <w:pPr>
              <w:spacing w:after="0"/>
              <w:rPr>
                <w:sz w:val="16"/>
                <w:szCs w:val="16"/>
                <w:color w:val="auto"/>
              </w:rPr>
            </w:pPr>
          </w:p>
        </w:tc>
      </w:tr>
      <w:tr>
        <w:trPr>
          <w:trHeight w:val="203"/>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Date Filed</w:t>
            </w:r>
          </w:p>
        </w:tc>
      </w:tr>
      <w:tr>
        <w:trPr>
          <w:trHeight w:val="396"/>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9/11/2015</w:t>
            </w:r>
          </w:p>
        </w:tc>
      </w:tr>
      <w:tr>
        <w:trPr>
          <w:trHeight w:val="405"/>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9/11/2015</w:t>
            </w:r>
          </w:p>
        </w:tc>
      </w:tr>
      <w:tr>
        <w:trPr>
          <w:trHeight w:val="405"/>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7/6/2015</w:t>
            </w:r>
          </w:p>
        </w:tc>
      </w:tr>
      <w:tr>
        <w:trPr>
          <w:trHeight w:val="405"/>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S-3</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12/23/2019</w:t>
            </w:r>
          </w:p>
        </w:tc>
      </w:tr>
      <w:tr>
        <w:trPr>
          <w:trHeight w:val="311"/>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S-3</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12/23/2019</w:t>
            </w:r>
          </w:p>
        </w:tc>
      </w:tr>
      <w:tr>
        <w:trPr>
          <w:trHeight w:val="405"/>
        </w:trPr>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4/14/2020</w:t>
            </w:r>
          </w:p>
        </w:tc>
      </w:tr>
      <w:tr>
        <w:trPr>
          <w:trHeight w:val="364"/>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6/15/2015</w:t>
            </w:r>
          </w:p>
        </w:tc>
      </w:tr>
      <w:tr>
        <w:trPr>
          <w:trHeight w:val="405"/>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7/6/2015</w:t>
            </w:r>
          </w:p>
        </w:tc>
      </w:tr>
      <w:tr>
        <w:trPr>
          <w:trHeight w:val="405"/>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7/6/2015</w:t>
            </w:r>
          </w:p>
        </w:tc>
      </w:tr>
      <w:tr>
        <w:trPr>
          <w:trHeight w:val="405"/>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6/15/2015</w:t>
            </w:r>
          </w:p>
        </w:tc>
      </w:tr>
      <w:tr>
        <w:trPr>
          <w:trHeight w:val="405"/>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6/15/2015</w:t>
            </w:r>
          </w:p>
        </w:tc>
      </w:tr>
      <w:tr>
        <w:trPr>
          <w:trHeight w:val="581"/>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6/15/2015</w:t>
            </w:r>
          </w:p>
        </w:tc>
      </w:tr>
      <w:tr>
        <w:trPr>
          <w:trHeight w:val="580"/>
        </w:trPr>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4/11/2017</w:t>
            </w:r>
          </w:p>
        </w:tc>
      </w:tr>
      <w:tr>
        <w:trPr>
          <w:trHeight w:val="580"/>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6/15/2015</w:t>
            </w:r>
          </w:p>
        </w:tc>
      </w:tr>
      <w:tr>
        <w:trPr>
          <w:trHeight w:val="594"/>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06/08/2018</w:t>
            </w:r>
          </w:p>
        </w:tc>
      </w:tr>
      <w:tr>
        <w:trPr>
          <w:trHeight w:val="594"/>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12/06/2019</w:t>
            </w:r>
          </w:p>
        </w:tc>
      </w:tr>
      <w:tr>
        <w:trPr>
          <w:trHeight w:val="594"/>
        </w:trPr>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10.12</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04/07/2021</w:t>
            </w:r>
          </w:p>
        </w:tc>
      </w:tr>
      <w:tr>
        <w:trPr>
          <w:trHeight w:val="594"/>
        </w:trPr>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06/09/2021</w:t>
            </w:r>
          </w:p>
        </w:tc>
      </w:tr>
    </w:tbl>
    <w:p>
      <w:pPr>
        <w:spacing w:after="0" w:line="3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6860" w:space="100"/>
            <w:col w:w="4300"/>
          </w:cols>
          <w:pgMar w:left="320" w:top="341"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3"/>
        </w:trPr>
        <w:tc>
          <w:tcPr>
            <w:tcW w:w="102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4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gridSpan w:val="17"/>
          </w:tcPr>
          <w:p>
            <w:pPr>
              <w:ind w:left="2020"/>
              <w:spacing w:after="0"/>
              <w:rPr>
                <w:sz w:val="20"/>
                <w:szCs w:val="20"/>
                <w:color w:val="auto"/>
              </w:rPr>
            </w:pPr>
            <w:r>
              <w:rPr>
                <w:rFonts w:ascii="Arial" w:cs="Arial" w:eastAsia="Arial" w:hAnsi="Arial"/>
                <w:sz w:val="16"/>
                <w:szCs w:val="16"/>
                <w:b w:val="1"/>
                <w:bCs w:val="1"/>
                <w:color w:val="auto"/>
              </w:rPr>
              <w:t>Description</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7"/>
                <w:szCs w:val="17"/>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r:id="rId144">
              <w:r>
                <w:rPr>
                  <w:rFonts w:ascii="Arial" w:cs="Arial" w:eastAsia="Arial" w:hAnsi="Arial"/>
                  <w:sz w:val="16"/>
                  <w:szCs w:val="16"/>
                  <w:color w:val="0000EE"/>
                </w:rPr>
                <w:t>Letter Agreement by and between the Company and Shig Hamamatsu, dated July</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rPr>
              <w:t>10-Q</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12/08/2021</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44">
              <w:r>
                <w:rPr>
                  <w:rFonts w:ascii="Arial" w:cs="Arial" w:eastAsia="Arial" w:hAnsi="Arial"/>
                  <w:sz w:val="16"/>
                  <w:szCs w:val="16"/>
                  <w:color w:val="0000EE"/>
                  <w:w w:val="97"/>
                </w:rPr>
                <w:t>3, 2021</w:t>
              </w:r>
            </w:hyperlink>
          </w:p>
        </w:tc>
        <w:tc>
          <w:tcPr>
            <w:tcW w:w="2080" w:type="dxa"/>
            <w:vAlign w:val="bottom"/>
            <w:tcBorders>
              <w:top w:val="single" w:sz="8" w:color="0000EE"/>
            </w:tcBorders>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r:id="rId145">
              <w:r>
                <w:rPr>
                  <w:rFonts w:ascii="Arial" w:cs="Arial" w:eastAsia="Arial" w:hAnsi="Arial"/>
                  <w:sz w:val="16"/>
                  <w:szCs w:val="16"/>
                  <w:color w:val="0000EE"/>
                </w:rPr>
                <w:t>Executive Change in Control and Severance Agreement by and between the</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rPr>
              <w:t>10-Q</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12/08/2021</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Company and Shig Hamamatsu, dated September 7, 2021</w:t>
              </w:r>
            </w:hyperlink>
          </w:p>
        </w:tc>
        <w:tc>
          <w:tcPr>
            <w:tcW w:w="1260" w:type="dxa"/>
            <w:vAlign w:val="bottom"/>
            <w:tcBorders>
              <w:top w:val="single" w:sz="8" w:color="0000EE"/>
            </w:tcBorders>
            <w:gridSpan w:val="8"/>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r:id="rId146">
              <w:r>
                <w:rPr>
                  <w:rFonts w:ascii="Arial" w:cs="Arial" w:eastAsia="Arial" w:hAnsi="Arial"/>
                  <w:sz w:val="16"/>
                  <w:szCs w:val="16"/>
                  <w:color w:val="0000EE"/>
                </w:rPr>
                <w:t>Amendment No. 1 to the Executive Change in Control and Severance Agreement</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rPr>
              <w:t>10-Q</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12/08/2021</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4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by and between the Company and Eric Stang, dated September 20, 2021</w:t>
              </w:r>
            </w:hyperlink>
          </w:p>
        </w:tc>
        <w:tc>
          <w:tcPr>
            <w:tcW w:w="10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r:id="rId147">
              <w:r>
                <w:rPr>
                  <w:rFonts w:ascii="Arial" w:cs="Arial" w:eastAsia="Arial" w:hAnsi="Arial"/>
                  <w:sz w:val="16"/>
                  <w:szCs w:val="16"/>
                  <w:color w:val="0000EE"/>
                </w:rPr>
                <w:t>Amendment No. 1 to the Executive Change in Control and Severance Agreement</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rPr>
              <w:t>10-Q</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12/08/2021</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8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by and between the Company and Jenny Yeh, dated September 20, 2021</w:t>
              </w:r>
            </w:hyperlink>
          </w:p>
        </w:tc>
        <w:tc>
          <w:tcPr>
            <w:tcW w:w="560" w:type="dxa"/>
            <w:vAlign w:val="bottom"/>
            <w:tcBorders>
              <w:top w:val="single" w:sz="8" w:color="0000EE"/>
            </w:tcBorders>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r:id="rId148">
              <w:r>
                <w:rPr>
                  <w:rFonts w:ascii="Arial" w:cs="Arial" w:eastAsia="Arial" w:hAnsi="Arial"/>
                  <w:sz w:val="16"/>
                  <w:szCs w:val="16"/>
                  <w:color w:val="0000EE"/>
                </w:rPr>
                <w:t>Amended Form of Executive Change in Control and Severance Agreement</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rPr>
              <w:t>10-Q</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12/08/2021</w:t>
            </w:r>
          </w:p>
        </w:tc>
        <w:tc>
          <w:tcPr>
            <w:tcW w:w="0" w:type="dxa"/>
            <w:vAlign w:val="bottom"/>
          </w:tcPr>
          <w:p>
            <w:pPr>
              <w:spacing w:after="0"/>
              <w:rPr>
                <w:sz w:val="1"/>
                <w:szCs w:val="1"/>
                <w:color w:val="auto"/>
              </w:rPr>
            </w:pPr>
          </w:p>
        </w:tc>
      </w:tr>
      <w:tr>
        <w:trPr>
          <w:trHeight w:val="399"/>
        </w:trPr>
        <w:tc>
          <w:tcPr>
            <w:tcW w:w="1020" w:type="dxa"/>
            <w:vAlign w:val="bottom"/>
          </w:tcPr>
          <w:p>
            <w:pPr>
              <w:jc w:val="center"/>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List of subsidiaries of the Registrant.</w:t>
              </w:r>
            </w:hyperlink>
          </w:p>
        </w:tc>
        <w:tc>
          <w:tcPr>
            <w:tcW w:w="2740" w:type="dxa"/>
            <w:vAlign w:val="bottom"/>
            <w:tcBorders>
              <w:top w:val="single" w:sz="8" w:color="0000EE"/>
            </w:tcBorders>
            <w:gridSpan w:val="9"/>
          </w:tcPr>
          <w:p>
            <w:pPr>
              <w:spacing w:after="0"/>
              <w:rPr>
                <w:sz w:val="24"/>
                <w:szCs w:val="24"/>
                <w:color w:val="auto"/>
              </w:rPr>
            </w:pPr>
          </w:p>
        </w:tc>
        <w:tc>
          <w:tcPr>
            <w:tcW w:w="740" w:type="dxa"/>
            <w:vAlign w:val="bottom"/>
            <w:gridSpan w:val="8"/>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24"/>
                <w:szCs w:val="24"/>
                <w:color w:val="auto"/>
              </w:rPr>
            </w:pPr>
          </w:p>
        </w:tc>
        <w:tc>
          <w:tcPr>
            <w:tcW w:w="5140" w:type="dxa"/>
            <w:vAlign w:val="bottom"/>
            <w:tcBorders>
              <w:bottom w:val="single" w:sz="8" w:color="0000EE"/>
            </w:tcBorders>
            <w:gridSpan w:val="7"/>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Consent of KPMG LLP, Independent Registered Public Accounting Firm</w:t>
              </w:r>
            </w:hyperlink>
          </w:p>
        </w:tc>
        <w:tc>
          <w:tcPr>
            <w:tcW w:w="960" w:type="dxa"/>
            <w:vAlign w:val="bottom"/>
            <w:gridSpan w:val="12"/>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24"/>
                <w:szCs w:val="24"/>
                <w:color w:val="auto"/>
              </w:rPr>
            </w:pPr>
          </w:p>
        </w:tc>
        <w:tc>
          <w:tcPr>
            <w:tcW w:w="5940" w:type="dxa"/>
            <w:vAlign w:val="bottom"/>
            <w:tcBorders>
              <w:bottom w:val="single" w:sz="8" w:color="0000EE"/>
            </w:tcBorders>
            <w:gridSpan w:val="17"/>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Consent of Deloitte &amp; Touche LLP, Independent Registered Public Accounting Firm</w:t>
              </w:r>
            </w:hyperlink>
          </w:p>
        </w:tc>
        <w:tc>
          <w:tcPr>
            <w:tcW w:w="160" w:type="dxa"/>
            <w:vAlign w:val="bottom"/>
            <w:gridSpan w:val="2"/>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020" w:type="dxa"/>
            <w:vAlign w:val="bottom"/>
          </w:tcPr>
          <w:p>
            <w:pPr>
              <w:jc w:val="center"/>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Certification pursuant to Section 302 of the Sarbanes-Oxley Act of 2002,</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8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108">
              <w:r>
                <w:rPr>
                  <w:rFonts w:ascii="Arial" w:cs="Arial" w:eastAsia="Arial" w:hAnsi="Arial"/>
                  <w:sz w:val="16"/>
                  <w:szCs w:val="16"/>
                  <w:color w:val="0000EE"/>
                </w:rPr>
                <w:t>Rule 13(a)</w:t>
              </w:r>
              <w:r>
                <w:rPr>
                  <w:rFonts w:ascii="MS PGothic" w:cs="MS PGothic" w:eastAsia="MS PGothic" w:hAnsi="MS PGothic"/>
                  <w:sz w:val="16"/>
                  <w:szCs w:val="16"/>
                  <w:color w:val="0000EE"/>
                </w:rPr>
                <w:t>‑</w:t>
              </w:r>
              <w:r>
                <w:rPr>
                  <w:rFonts w:ascii="Arial" w:cs="Arial" w:eastAsia="Arial" w:hAnsi="Arial"/>
                  <w:sz w:val="16"/>
                  <w:szCs w:val="16"/>
                  <w:color w:val="0000EE"/>
                </w:rPr>
                <w:t>14(a)/15d-14(a), by President and Chief Executive Officer.</w:t>
              </w:r>
            </w:hyperlink>
          </w:p>
        </w:tc>
        <w:tc>
          <w:tcPr>
            <w:tcW w:w="6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jc w:val="center"/>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Certification pursuant to Section 302 of the Sarbanes-Oxley Act of 2002,</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109">
              <w:r>
                <w:rPr>
                  <w:rFonts w:ascii="Arial" w:cs="Arial" w:eastAsia="Arial" w:hAnsi="Arial"/>
                  <w:sz w:val="16"/>
                  <w:szCs w:val="16"/>
                  <w:color w:val="0000EE"/>
                </w:rPr>
                <w:t>Rule 13(a)</w:t>
              </w:r>
              <w:r>
                <w:rPr>
                  <w:rFonts w:ascii="MS PGothic" w:cs="MS PGothic" w:eastAsia="MS PGothic" w:hAnsi="MS PGothic"/>
                  <w:sz w:val="16"/>
                  <w:szCs w:val="16"/>
                  <w:color w:val="0000EE"/>
                </w:rPr>
                <w:t>‑</w:t>
              </w:r>
              <w:r>
                <w:rPr>
                  <w:rFonts w:ascii="Arial" w:cs="Arial" w:eastAsia="Arial" w:hAnsi="Arial"/>
                  <w:sz w:val="16"/>
                  <w:szCs w:val="16"/>
                  <w:color w:val="0000EE"/>
                </w:rPr>
                <w:t>14(a)/15d-14(a), by Chief Financial Officer.</w:t>
              </w:r>
            </w:hyperlink>
          </w:p>
        </w:tc>
        <w:tc>
          <w:tcPr>
            <w:tcW w:w="1300" w:type="dxa"/>
            <w:vAlign w:val="bottom"/>
            <w:tcBorders>
              <w:top w:val="single" w:sz="8" w:color="0000EE"/>
            </w:tcBorders>
            <w:gridSpan w:val="5"/>
          </w:tcPr>
          <w:p>
            <w:pPr>
              <w:spacing w:after="0"/>
              <w:rPr>
                <w:sz w:val="14"/>
                <w:szCs w:val="14"/>
                <w:color w:val="auto"/>
              </w:rPr>
            </w:pPr>
          </w:p>
        </w:tc>
        <w:tc>
          <w:tcPr>
            <w:tcW w:w="6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w:anchor="page110">
              <w:r>
                <w:rPr>
                  <w:rFonts w:ascii="Arial" w:cs="Arial" w:eastAsia="Arial" w:hAnsi="Arial"/>
                  <w:sz w:val="16"/>
                  <w:szCs w:val="16"/>
                  <w:color w:val="0000EE"/>
                </w:rPr>
                <w:t>Certification pursuant to 18 U.S.C. Section 1350, as adopted pursuant to Section</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rPr>
              <w:t>Furnished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w w:val="99"/>
              </w:rPr>
            </w:pPr>
            <w:hyperlink w:anchor="page110">
              <w:r>
                <w:rPr>
                  <w:rFonts w:ascii="Arial" w:cs="Arial" w:eastAsia="Arial" w:hAnsi="Arial"/>
                  <w:sz w:val="16"/>
                  <w:szCs w:val="16"/>
                  <w:color w:val="0000EE"/>
                  <w:w w:val="99"/>
                </w:rPr>
                <w:t>906 of the Sarbanes-Oxley Act of 2002, by President and Chief Executive Officer.</w:t>
              </w:r>
            </w:hyperlink>
          </w:p>
        </w:tc>
        <w:tc>
          <w:tcPr>
            <w:tcW w:w="40" w:type="dxa"/>
            <w:vAlign w:val="bottom"/>
            <w:tcBorders>
              <w:bottom w:val="single" w:sz="8" w:color="0000EE"/>
            </w:tcBorders>
          </w:tcPr>
          <w:p>
            <w:pPr>
              <w:spacing w:after="0"/>
              <w:rPr>
                <w:sz w:val="14"/>
                <w:szCs w:val="14"/>
                <w:color w:val="auto"/>
              </w:rPr>
            </w:pPr>
          </w:p>
        </w:tc>
        <w:tc>
          <w:tcPr>
            <w:tcW w:w="280" w:type="dxa"/>
            <w:vAlign w:val="bottom"/>
            <w:gridSpan w:val="5"/>
          </w:tcPr>
          <w:p>
            <w:pPr>
              <w:spacing w:after="0"/>
              <w:rPr>
                <w:sz w:val="14"/>
                <w:szCs w:val="14"/>
                <w:color w:val="auto"/>
              </w:rPr>
            </w:pPr>
          </w:p>
        </w:tc>
        <w:tc>
          <w:tcPr>
            <w:tcW w:w="140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herewith.</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center"/>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6"/>
                <w:szCs w:val="16"/>
                <w:color w:val="0000EE"/>
              </w:rPr>
            </w:pPr>
            <w:hyperlink w:anchor="page111">
              <w:r>
                <w:rPr>
                  <w:rFonts w:ascii="Arial" w:cs="Arial" w:eastAsia="Arial" w:hAnsi="Arial"/>
                  <w:sz w:val="16"/>
                  <w:szCs w:val="16"/>
                  <w:color w:val="0000EE"/>
                </w:rPr>
                <w:t>Certification pursuant to 18 U.S.C. Section 1350, as adopted pursuant to Section</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rPr>
              <w:t>Furnished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w:anchor="page111">
              <w:r>
                <w:rPr>
                  <w:rFonts w:ascii="Arial" w:cs="Arial" w:eastAsia="Arial" w:hAnsi="Arial"/>
                  <w:sz w:val="16"/>
                  <w:szCs w:val="16"/>
                  <w:color w:val="0000EE"/>
                </w:rPr>
                <w:t>906 of the Sarbanes-Oxley Act of 2002, by Chief Financial Officer.</w:t>
              </w:r>
            </w:hyperlink>
          </w:p>
        </w:tc>
        <w:tc>
          <w:tcPr>
            <w:tcW w:w="320" w:type="dxa"/>
            <w:vAlign w:val="bottom"/>
            <w:gridSpan w:val="6"/>
          </w:tcPr>
          <w:p>
            <w:pPr>
              <w:spacing w:after="0"/>
              <w:rPr>
                <w:sz w:val="14"/>
                <w:szCs w:val="14"/>
                <w:color w:val="auto"/>
              </w:rPr>
            </w:pPr>
          </w:p>
        </w:tc>
        <w:tc>
          <w:tcPr>
            <w:tcW w:w="140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herewith.</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0"/>
        </w:trPr>
        <w:tc>
          <w:tcPr>
            <w:tcW w:w="1020" w:type="dxa"/>
            <w:vAlign w:val="bottom"/>
          </w:tcPr>
          <w:p>
            <w:pPr>
              <w:ind w:left="220"/>
              <w:spacing w:after="0"/>
              <w:rPr>
                <w:sz w:val="20"/>
                <w:szCs w:val="20"/>
                <w:color w:val="auto"/>
              </w:rPr>
            </w:pPr>
            <w:r>
              <w:rPr>
                <w:rFonts w:ascii="Arial" w:cs="Arial" w:eastAsia="Arial" w:hAnsi="Arial"/>
                <w:sz w:val="16"/>
                <w:szCs w:val="16"/>
                <w:color w:val="auto"/>
              </w:rPr>
              <w:t>101.INS</w:t>
            </w:r>
          </w:p>
        </w:tc>
        <w:tc>
          <w:tcPr>
            <w:tcW w:w="80" w:type="dxa"/>
            <w:vAlign w:val="bottom"/>
          </w:tcPr>
          <w:p>
            <w:pPr>
              <w:spacing w:after="0"/>
              <w:rPr>
                <w:sz w:val="24"/>
                <w:szCs w:val="24"/>
                <w:color w:val="auto"/>
              </w:rPr>
            </w:pPr>
          </w:p>
        </w:tc>
        <w:tc>
          <w:tcPr>
            <w:tcW w:w="4720" w:type="dxa"/>
            <w:vAlign w:val="bottom"/>
            <w:tcBorders>
              <w:top w:val="single" w:sz="8" w:color="0000EE"/>
            </w:tcBorders>
            <w:gridSpan w:val="5"/>
          </w:tcPr>
          <w:p>
            <w:pPr>
              <w:spacing w:after="0"/>
              <w:rPr>
                <w:sz w:val="20"/>
                <w:szCs w:val="20"/>
                <w:color w:val="auto"/>
              </w:rPr>
            </w:pPr>
            <w:r>
              <w:rPr>
                <w:rFonts w:ascii="Arial" w:cs="Arial" w:eastAsia="Arial" w:hAnsi="Arial"/>
                <w:sz w:val="16"/>
                <w:szCs w:val="16"/>
                <w:color w:val="auto"/>
              </w:rPr>
              <w:t>Inline XBRL Instance Document</w:t>
            </w:r>
          </w:p>
        </w:tc>
        <w:tc>
          <w:tcPr>
            <w:tcW w:w="1380" w:type="dxa"/>
            <w:vAlign w:val="bottom"/>
            <w:gridSpan w:val="14"/>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tcPr>
          <w:p>
            <w:pPr>
              <w:ind w:left="180"/>
              <w:spacing w:after="0"/>
              <w:rPr>
                <w:sz w:val="20"/>
                <w:szCs w:val="20"/>
                <w:color w:val="auto"/>
              </w:rPr>
            </w:pPr>
            <w:r>
              <w:rPr>
                <w:rFonts w:ascii="Arial" w:cs="Arial" w:eastAsia="Arial" w:hAnsi="Arial"/>
                <w:sz w:val="16"/>
                <w:szCs w:val="16"/>
                <w:color w:val="auto"/>
              </w:rPr>
              <w:t>101.SCH</w:t>
            </w:r>
          </w:p>
        </w:tc>
        <w:tc>
          <w:tcPr>
            <w:tcW w:w="8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 Document</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tcPr>
          <w:p>
            <w:pPr>
              <w:ind w:left="200"/>
              <w:spacing w:after="0"/>
              <w:rPr>
                <w:sz w:val="20"/>
                <w:szCs w:val="20"/>
                <w:color w:val="auto"/>
              </w:rPr>
            </w:pPr>
            <w:r>
              <w:rPr>
                <w:rFonts w:ascii="Arial" w:cs="Arial" w:eastAsia="Arial" w:hAnsi="Arial"/>
                <w:sz w:val="16"/>
                <w:szCs w:val="16"/>
                <w:color w:val="auto"/>
              </w:rPr>
              <w:t>101.CAL</w:t>
            </w:r>
          </w:p>
        </w:tc>
        <w:tc>
          <w:tcPr>
            <w:tcW w:w="8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tcPr>
          <w:p>
            <w:pPr>
              <w:ind w:left="200"/>
              <w:spacing w:after="0"/>
              <w:rPr>
                <w:sz w:val="20"/>
                <w:szCs w:val="20"/>
                <w:color w:val="auto"/>
              </w:rPr>
            </w:pPr>
            <w:r>
              <w:rPr>
                <w:rFonts w:ascii="Arial" w:cs="Arial" w:eastAsia="Arial" w:hAnsi="Arial"/>
                <w:sz w:val="16"/>
                <w:szCs w:val="16"/>
                <w:color w:val="auto"/>
              </w:rPr>
              <w:t>101.DEF</w:t>
            </w:r>
          </w:p>
        </w:tc>
        <w:tc>
          <w:tcPr>
            <w:tcW w:w="8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tcPr>
          <w:p>
            <w:pPr>
              <w:ind w:left="200"/>
              <w:spacing w:after="0"/>
              <w:rPr>
                <w:sz w:val="20"/>
                <w:szCs w:val="20"/>
                <w:color w:val="auto"/>
              </w:rPr>
            </w:pPr>
            <w:r>
              <w:rPr>
                <w:rFonts w:ascii="Arial" w:cs="Arial" w:eastAsia="Arial" w:hAnsi="Arial"/>
                <w:sz w:val="16"/>
                <w:szCs w:val="16"/>
                <w:color w:val="auto"/>
              </w:rPr>
              <w:t>101.LAB</w:t>
            </w:r>
          </w:p>
        </w:tc>
        <w:tc>
          <w:tcPr>
            <w:tcW w:w="8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tcPr>
          <w:p>
            <w:pPr>
              <w:ind w:left="200"/>
              <w:spacing w:after="0"/>
              <w:rPr>
                <w:sz w:val="20"/>
                <w:szCs w:val="20"/>
                <w:color w:val="auto"/>
              </w:rPr>
            </w:pPr>
            <w:r>
              <w:rPr>
                <w:rFonts w:ascii="Arial" w:cs="Arial" w:eastAsia="Arial" w:hAnsi="Arial"/>
                <w:sz w:val="16"/>
                <w:szCs w:val="16"/>
                <w:color w:val="auto"/>
              </w:rPr>
              <w:t>101.PRE</w:t>
            </w:r>
          </w:p>
        </w:tc>
        <w:tc>
          <w:tcPr>
            <w:tcW w:w="8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2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8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Filed herewith.</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101)</w:t>
            </w:r>
          </w:p>
        </w:tc>
        <w:tc>
          <w:tcPr>
            <w:tcW w:w="20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hanging="31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3"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April 8, 2022</w:t>
      </w:r>
      <w:r>
        <w:rPr>
          <w:sz w:val="20"/>
          <w:szCs w:val="20"/>
          <w:color w:val="auto"/>
        </w:rPr>
        <w:tab/>
      </w:r>
      <w:r>
        <w:rPr>
          <w:rFonts w:ascii="Arial" w:cs="Arial" w:eastAsia="Arial" w:hAnsi="Arial"/>
          <w:sz w:val="17"/>
          <w:szCs w:val="17"/>
          <w:color w:val="auto"/>
        </w:rPr>
        <w:t>Ooma, Inc.</w:t>
      </w:r>
    </w:p>
    <w:p>
      <w:pPr>
        <w:spacing w:after="0" w:line="239" w:lineRule="exact"/>
        <w:rPr>
          <w:sz w:val="20"/>
          <w:szCs w:val="20"/>
          <w:color w:val="auto"/>
        </w:rPr>
      </w:pPr>
    </w:p>
    <w:p>
      <w:pPr>
        <w:ind w:left="598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B. Stang</w:t>
      </w:r>
    </w:p>
    <w:p>
      <w:pPr>
        <w:spacing w:after="0" w:line="50"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Eric B.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-127635</wp:posOffset>
            </wp:positionV>
            <wp:extent cx="28975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8" w:lineRule="exact"/>
        <w:rPr>
          <w:sz w:val="20"/>
          <w:szCs w:val="20"/>
          <w:color w:val="auto"/>
        </w:rPr>
      </w:pPr>
    </w:p>
    <w:p>
      <w:pPr>
        <w:ind w:left="668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Eric B. Stang, Shig Hamamatsu and Jenny C. Yeh, and each of them individually, as his or her attorney-in-fact, each with full power of substitution, for him or her in any and all capacities to sign any and all amendments to this Annual Report on Form 10-K, and to file the same with, with exhibits thereto and other documents in connection therewith, with the Securities and Exchange Commission, hereby ratifying and confirming all that said attorney-in-fact, or his or her substitute, may do or cause to be done by virtue hereof.</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54" w:lineRule="exact"/>
        <w:rPr>
          <w:sz w:val="20"/>
          <w:szCs w:val="20"/>
          <w:color w:val="auto"/>
        </w:rPr>
      </w:pPr>
    </w:p>
    <w:p>
      <w:pPr>
        <w:ind w:left="1840"/>
        <w:spacing w:after="0"/>
        <w:tabs>
          <w:tab w:leader="none" w:pos="6660" w:val="left"/>
          <w:tab w:leader="none" w:pos="1002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Eric B.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Eric B. Stang</w:t>
      </w:r>
    </w:p>
    <w:p>
      <w:pPr>
        <w:spacing w:after="0" w:line="200" w:lineRule="exact"/>
        <w:rPr>
          <w:sz w:val="20"/>
          <w:szCs w:val="20"/>
          <w:color w:val="auto"/>
        </w:rPr>
      </w:pPr>
    </w:p>
    <w:p>
      <w:pPr>
        <w:spacing w:after="0" w:line="210"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Shig Hamamatsu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Shig Hamamatsu</w:t>
      </w:r>
    </w:p>
    <w:p>
      <w:pPr>
        <w:spacing w:after="0" w:line="200" w:lineRule="exact"/>
        <w:rPr>
          <w:sz w:val="20"/>
          <w:szCs w:val="20"/>
          <w:color w:val="auto"/>
        </w:rPr>
      </w:pPr>
    </w:p>
    <w:p>
      <w:pPr>
        <w:spacing w:after="0" w:line="2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Susan Butenhoff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Susan Butenhoff</w:t>
      </w:r>
    </w:p>
    <w:p>
      <w:pPr>
        <w:spacing w:after="0" w:line="200" w:lineRule="exact"/>
        <w:rPr>
          <w:sz w:val="20"/>
          <w:szCs w:val="20"/>
          <w:color w:val="auto"/>
        </w:rPr>
      </w:pPr>
    </w:p>
    <w:p>
      <w:pPr>
        <w:spacing w:after="0" w:line="210"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Andrew Galligan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Andrew Galligan</w:t>
      </w:r>
    </w:p>
    <w:p>
      <w:pPr>
        <w:spacing w:after="0" w:line="200" w:lineRule="exact"/>
        <w:rPr>
          <w:sz w:val="20"/>
          <w:szCs w:val="20"/>
          <w:color w:val="auto"/>
        </w:rPr>
      </w:pPr>
    </w:p>
    <w:p>
      <w:pPr>
        <w:spacing w:after="0" w:line="210"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Peter J. Goettner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Peter J. Goettner</w:t>
      </w:r>
    </w:p>
    <w:p>
      <w:pPr>
        <w:spacing w:after="0" w:line="200" w:lineRule="exact"/>
        <w:rPr>
          <w:sz w:val="20"/>
          <w:szCs w:val="20"/>
          <w:color w:val="auto"/>
        </w:rPr>
      </w:pPr>
    </w:p>
    <w:p>
      <w:pPr>
        <w:spacing w:after="0" w:line="210"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Judi A.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Judi A. Hand</w:t>
      </w:r>
    </w:p>
    <w:p>
      <w:pPr>
        <w:spacing w:after="0" w:line="200" w:lineRule="exact"/>
        <w:rPr>
          <w:sz w:val="20"/>
          <w:szCs w:val="20"/>
          <w:color w:val="auto"/>
        </w:rPr>
      </w:pPr>
    </w:p>
    <w:p>
      <w:pPr>
        <w:spacing w:after="0" w:line="210"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Russell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Russell Mann</w:t>
      </w:r>
    </w:p>
    <w:p>
      <w:pPr>
        <w:spacing w:after="0" w:line="200" w:lineRule="exact"/>
        <w:rPr>
          <w:sz w:val="20"/>
          <w:szCs w:val="20"/>
          <w:color w:val="auto"/>
        </w:rPr>
      </w:pPr>
    </w:p>
    <w:p>
      <w:pPr>
        <w:spacing w:after="0" w:line="210"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William D.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William D. Pearce</w:t>
      </w:r>
    </w:p>
    <w:p>
      <w:pPr>
        <w:spacing w:after="0" w:line="194"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Jenny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54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Jenny Yeh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9"/>
              </w:rPr>
              <w:t>President and Chief Executive Officer and</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203"/>
        </w:trPr>
        <w:tc>
          <w:tcPr>
            <w:tcW w:w="4160" w:type="dxa"/>
            <w:vAlign w:val="bottom"/>
          </w:tcPr>
          <w:p>
            <w:pPr>
              <w:jc w:val="center"/>
              <w:ind w:right="450"/>
              <w:spacing w:after="0" w:line="202" w:lineRule="exact"/>
              <w:rPr>
                <w:sz w:val="20"/>
                <w:szCs w:val="20"/>
                <w:color w:val="auto"/>
              </w:rPr>
            </w:pPr>
            <w:r>
              <w:rPr>
                <w:rFonts w:ascii="Arial" w:cs="Arial" w:eastAsia="Arial" w:hAnsi="Arial"/>
                <w:sz w:val="18"/>
                <w:szCs w:val="18"/>
                <w:color w:val="auto"/>
                <w:w w:val="99"/>
              </w:rPr>
              <w:t>Chairman of the Board of Directors</w:t>
            </w:r>
          </w:p>
        </w:tc>
        <w:tc>
          <w:tcPr>
            <w:tcW w:w="1520" w:type="dxa"/>
            <w:vAlign w:val="bottom"/>
          </w:tcPr>
          <w:p>
            <w:pPr>
              <w:spacing w:after="0"/>
              <w:rPr>
                <w:sz w:val="17"/>
                <w:szCs w:val="17"/>
                <w:color w:val="auto"/>
              </w:rPr>
            </w:pPr>
          </w:p>
        </w:tc>
      </w:tr>
      <w:tr>
        <w:trPr>
          <w:trHeight w:val="239"/>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9"/>
              </w:rPr>
              <w:t>(Principal Executive Officer)</w:t>
            </w:r>
          </w:p>
        </w:tc>
        <w:tc>
          <w:tcPr>
            <w:tcW w:w="1520" w:type="dxa"/>
            <w:vAlign w:val="bottom"/>
          </w:tcPr>
          <w:p>
            <w:pPr>
              <w:spacing w:after="0"/>
              <w:rPr>
                <w:sz w:val="20"/>
                <w:szCs w:val="20"/>
                <w:color w:val="auto"/>
              </w:rPr>
            </w:pPr>
          </w:p>
        </w:tc>
      </w:tr>
      <w:tr>
        <w:trPr>
          <w:trHeight w:val="382"/>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9"/>
              </w:rPr>
              <w:t>Chief Financial Officer and Treasurer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239"/>
        </w:trPr>
        <w:tc>
          <w:tcPr>
            <w:tcW w:w="4160" w:type="dxa"/>
            <w:vAlign w:val="bottom"/>
          </w:tcPr>
          <w:p>
            <w:pPr>
              <w:jc w:val="center"/>
              <w:ind w:right="450"/>
              <w:spacing w:after="0"/>
              <w:rPr>
                <w:sz w:val="20"/>
                <w:szCs w:val="20"/>
                <w:color w:val="auto"/>
              </w:rPr>
            </w:pPr>
            <w:r>
              <w:rPr>
                <w:rFonts w:ascii="Arial" w:cs="Arial" w:eastAsia="Arial" w:hAnsi="Arial"/>
                <w:sz w:val="18"/>
                <w:szCs w:val="18"/>
                <w:color w:val="auto"/>
              </w:rPr>
              <w:t>(Principal Financial and Accounting Officer)</w:t>
            </w:r>
          </w:p>
        </w:tc>
        <w:tc>
          <w:tcPr>
            <w:tcW w:w="1520" w:type="dxa"/>
            <w:vAlign w:val="bottom"/>
          </w:tcPr>
          <w:p>
            <w:pPr>
              <w:spacing w:after="0"/>
              <w:rPr>
                <w:sz w:val="20"/>
                <w:szCs w:val="20"/>
                <w:color w:val="auto"/>
              </w:rPr>
            </w:pPr>
          </w:p>
        </w:tc>
      </w:tr>
      <w:tr>
        <w:trPr>
          <w:trHeight w:val="675"/>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8"/>
              </w:rPr>
              <w:t>Director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850"/>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8"/>
              </w:rPr>
              <w:t>Director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850"/>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8"/>
              </w:rPr>
              <w:t>Director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850"/>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8"/>
              </w:rPr>
              <w:t>Director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850"/>
        </w:trPr>
        <w:tc>
          <w:tcPr>
            <w:tcW w:w="4160" w:type="dxa"/>
            <w:vAlign w:val="bottom"/>
          </w:tcPr>
          <w:p>
            <w:pPr>
              <w:jc w:val="center"/>
              <w:ind w:right="450"/>
              <w:spacing w:after="0"/>
              <w:rPr>
                <w:sz w:val="20"/>
                <w:szCs w:val="20"/>
                <w:color w:val="auto"/>
              </w:rPr>
            </w:pPr>
            <w:r>
              <w:rPr>
                <w:rFonts w:ascii="Arial" w:cs="Arial" w:eastAsia="Arial" w:hAnsi="Arial"/>
                <w:sz w:val="18"/>
                <w:szCs w:val="18"/>
                <w:color w:val="auto"/>
                <w:w w:val="98"/>
              </w:rPr>
              <w:t>Director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851"/>
        </w:trPr>
        <w:tc>
          <w:tcPr>
            <w:tcW w:w="4160" w:type="dxa"/>
            <w:vAlign w:val="bottom"/>
          </w:tcPr>
          <w:p>
            <w:pPr>
              <w:jc w:val="center"/>
              <w:ind w:right="430"/>
              <w:spacing w:after="0"/>
              <w:rPr>
                <w:sz w:val="20"/>
                <w:szCs w:val="20"/>
                <w:color w:val="auto"/>
              </w:rPr>
            </w:pPr>
            <w:r>
              <w:rPr>
                <w:rFonts w:ascii="Arial" w:cs="Arial" w:eastAsia="Arial" w:hAnsi="Arial"/>
                <w:sz w:val="18"/>
                <w:szCs w:val="18"/>
                <w:color w:val="auto"/>
                <w:w w:val="99"/>
              </w:rPr>
              <w:t>Lead Director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r>
        <w:trPr>
          <w:trHeight w:val="634"/>
        </w:trPr>
        <w:tc>
          <w:tcPr>
            <w:tcW w:w="4160" w:type="dxa"/>
            <w:vAlign w:val="bottom"/>
          </w:tcPr>
          <w:p>
            <w:pPr>
              <w:jc w:val="center"/>
              <w:ind w:right="430"/>
              <w:spacing w:after="0"/>
              <w:rPr>
                <w:sz w:val="20"/>
                <w:szCs w:val="20"/>
                <w:color w:val="auto"/>
              </w:rPr>
            </w:pPr>
            <w:r>
              <w:rPr>
                <w:rFonts w:ascii="Arial" w:cs="Arial" w:eastAsia="Arial" w:hAnsi="Arial"/>
                <w:sz w:val="18"/>
                <w:szCs w:val="18"/>
                <w:color w:val="auto"/>
                <w:w w:val="99"/>
              </w:rPr>
              <w:t>Vice President, General Counsel and Director</w:t>
            </w:r>
          </w:p>
        </w:tc>
        <w:tc>
          <w:tcPr>
            <w:tcW w:w="1520" w:type="dxa"/>
            <w:vAlign w:val="bottom"/>
          </w:tcPr>
          <w:p>
            <w:pPr>
              <w:ind w:left="500"/>
              <w:spacing w:after="0"/>
              <w:rPr>
                <w:sz w:val="20"/>
                <w:szCs w:val="20"/>
                <w:color w:val="auto"/>
              </w:rPr>
            </w:pPr>
            <w:r>
              <w:rPr>
                <w:rFonts w:ascii="Arial" w:cs="Arial" w:eastAsia="Arial" w:hAnsi="Arial"/>
                <w:sz w:val="18"/>
                <w:szCs w:val="18"/>
                <w:color w:val="auto"/>
                <w:w w:val="98"/>
              </w:rPr>
              <w:t>April 8, 2022</w:t>
            </w:r>
          </w:p>
        </w:tc>
      </w:tr>
    </w:tbl>
    <w:p>
      <w:pPr>
        <w:spacing w:after="0" w:line="375" w:lineRule="exact"/>
        <w:rPr>
          <w:sz w:val="20"/>
          <w:szCs w:val="20"/>
          <w:color w:val="auto"/>
        </w:rPr>
      </w:pPr>
    </w:p>
    <w:p>
      <w:pPr>
        <w:sectPr>
          <w:pgSz w:w="11900" w:h="16838" w:orient="portrait"/>
          <w:cols w:equalWidth="0" w:num="2">
            <w:col w:w="4340" w:space="720"/>
            <w:col w:w="6180"/>
          </w:cols>
          <w:pgMar w:left="320" w:top="337" w:right="3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Ooma </w:t>
      </w:r>
      <w:r>
        <w:rPr>
          <w:rFonts w:ascii="Arial" w:cs="Arial" w:eastAsia="Arial" w:hAnsi="Arial"/>
          <w:sz w:val="16"/>
          <w:szCs w:val="16"/>
          <w:color w:val="auto"/>
        </w:rPr>
        <w:t>| FY2022 Form 10-K | 90</w:t>
      </w:r>
    </w:p>
    <w:p>
      <w:pPr>
        <w:sectPr>
          <w:pgSz w:w="11900" w:h="16838" w:orient="portrait"/>
          <w:cols w:equalWidth="0" w:num="1">
            <w:col w:w="11240"/>
          </w:cols>
          <w:pgMar w:left="320" w:top="337" w:right="339" w:bottom="1440" w:gutter="0" w:footer="0" w:header="0"/>
          <w:type w:val="continuous"/>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7F7F7F"/>
        </w:rPr>
        <w:t>Exhibit 10.13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OOMA, INC.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TRANSITION AND CONSULTING AGREEMENT</w:t>
      </w:r>
    </w:p>
    <w:p>
      <w:pPr>
        <w:spacing w:after="0" w:line="200" w:lineRule="exact"/>
        <w:rPr>
          <w:sz w:val="20"/>
          <w:szCs w:val="20"/>
          <w:color w:val="auto"/>
        </w:rPr>
      </w:pPr>
    </w:p>
    <w:p>
      <w:pPr>
        <w:spacing w:after="0" w:line="236" w:lineRule="exact"/>
        <w:rPr>
          <w:sz w:val="20"/>
          <w:szCs w:val="20"/>
          <w:color w:val="auto"/>
        </w:rPr>
      </w:pPr>
    </w:p>
    <w:p>
      <w:pPr>
        <w:ind w:firstLine="759"/>
        <w:spacing w:after="0" w:line="269" w:lineRule="auto"/>
        <w:rPr>
          <w:sz w:val="20"/>
          <w:szCs w:val="20"/>
          <w:color w:val="auto"/>
        </w:rPr>
      </w:pPr>
      <w:r>
        <w:rPr>
          <w:rFonts w:ascii="Times New Roman" w:cs="Times New Roman" w:eastAsia="Times New Roman" w:hAnsi="Times New Roman"/>
          <w:sz w:val="20"/>
          <w:szCs w:val="20"/>
          <w:color w:val="auto"/>
        </w:rPr>
        <w:t>This Transition and Consulting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June 15, 2021, by and between Ooma,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Ravi Narula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right="160" w:firstLine="767"/>
        <w:spacing w:after="0" w:line="250" w:lineRule="auto"/>
        <w:tabs>
          <w:tab w:leader="none" w:pos="15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Resignation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hereby resigns from his position as Chief Financial Officer (“</w:t>
      </w:r>
      <w:r>
        <w:rPr>
          <w:rFonts w:ascii="Times New Roman" w:cs="Times New Roman" w:eastAsia="Times New Roman" w:hAnsi="Times New Roman"/>
          <w:sz w:val="20"/>
          <w:szCs w:val="20"/>
          <w:u w:val="single" w:color="auto"/>
          <w:color w:val="auto"/>
        </w:rPr>
        <w:t>CFO</w:t>
      </w:r>
      <w:r>
        <w:rPr>
          <w:rFonts w:ascii="Times New Roman" w:cs="Times New Roman" w:eastAsia="Times New Roman" w:hAnsi="Times New Roman"/>
          <w:sz w:val="20"/>
          <w:szCs w:val="20"/>
          <w:color w:val="auto"/>
        </w:rPr>
        <w:t>”) and as a member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effective as of June 15, 2021 (“</w:t>
      </w:r>
      <w:r>
        <w:rPr>
          <w:rFonts w:ascii="Times New Roman" w:cs="Times New Roman" w:eastAsia="Times New Roman" w:hAnsi="Times New Roman"/>
          <w:sz w:val="20"/>
          <w:szCs w:val="20"/>
          <w:u w:val="single" w:color="auto"/>
          <w:color w:val="auto"/>
        </w:rPr>
        <w:t>Resignation Date</w:t>
      </w:r>
      <w:r>
        <w:rPr>
          <w:rFonts w:ascii="Times New Roman" w:cs="Times New Roman" w:eastAsia="Times New Roman" w:hAnsi="Times New Roman"/>
          <w:sz w:val="20"/>
          <w:szCs w:val="20"/>
          <w:color w:val="auto"/>
        </w:rPr>
        <w:t>”). On the Resignation Date, the Company will pay Executive all accrued wages earned through the Resignation Date, subject to standard payroll deductions and withholdings, which Executive is entitled to regardless of whether or not Executive signs this Agreement.</w:t>
      </w:r>
    </w:p>
    <w:p>
      <w:pPr>
        <w:spacing w:after="0" w:line="175" w:lineRule="exact"/>
        <w:rPr>
          <w:rFonts w:ascii="Times New Roman" w:cs="Times New Roman" w:eastAsia="Times New Roman" w:hAnsi="Times New Roman"/>
          <w:sz w:val="20"/>
          <w:szCs w:val="20"/>
          <w:color w:val="auto"/>
        </w:rPr>
      </w:pPr>
    </w:p>
    <w:p>
      <w:pPr>
        <w:ind w:right="340" w:firstLine="767"/>
        <w:spacing w:after="0" w:line="250" w:lineRule="auto"/>
        <w:tabs>
          <w:tab w:leader="none" w:pos="15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Consulting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order to assist the Company with a smooth transition after the Resignation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will retain Consultant as an independent contractor under the terms specified below if Consultant executes this Agreement, complies with its terms, confirm his release of claims by executing the General Release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on or within 21 days after the Resignation Date, and allow it to become effective in accordance with its terms.</w:t>
      </w:r>
    </w:p>
    <w:p>
      <w:pPr>
        <w:spacing w:after="0" w:line="175" w:lineRule="exact"/>
        <w:rPr>
          <w:rFonts w:ascii="Times New Roman" w:cs="Times New Roman" w:eastAsia="Times New Roman" w:hAnsi="Times New Roman"/>
          <w:sz w:val="20"/>
          <w:szCs w:val="20"/>
          <w:color w:val="auto"/>
        </w:rPr>
      </w:pPr>
    </w:p>
    <w:p>
      <w:pPr>
        <w:ind w:right="20" w:firstLine="767"/>
        <w:spacing w:after="0" w:line="243" w:lineRule="auto"/>
        <w:tabs>
          <w:tab w:leader="none" w:pos="15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Consulting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agrees to provide consulting services for the Company in any area of his expertise,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but not limited to generally supporting finance, accounting, business planning and reporting activities, supporting the transition of responsibilities to the interim Chief Financial Officer and full-time Chief Financial Officer, when hired, being available for questions and issues that arise related to the Company’s fiscal 2022 financial plan, the closing of fiscal quarters, and tax, facilities, and investors relations matters, including being available for questions from the Company’s analysts and investors (the “</w:t>
      </w: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During the Consulting Period (as defined below), Consultant will report directly to the Chief Executive Officer (the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of the Company or as otherwise specified by the CEO. Consultant agrees to exercise the highest degree of professionalism and utilize his expertise and creative talents in performing these services. Consultant agrees to make himself available to perform such consulting services throughout the Consulting Period, up to a maximum of 25 hours per month, to performance of the Services. Consultant will not be required to report to the Company’s offices during the Consulting Period, except as specifically requested by the Company.</w:t>
      </w:r>
    </w:p>
    <w:p>
      <w:pPr>
        <w:spacing w:after="0" w:line="182" w:lineRule="exact"/>
        <w:rPr>
          <w:rFonts w:ascii="Times New Roman" w:cs="Times New Roman" w:eastAsia="Times New Roman" w:hAnsi="Times New Roman"/>
          <w:sz w:val="20"/>
          <w:szCs w:val="20"/>
          <w:color w:val="auto"/>
        </w:rPr>
      </w:pPr>
    </w:p>
    <w:p>
      <w:pPr>
        <w:ind w:right="320" w:firstLine="767"/>
        <w:spacing w:after="0" w:line="256" w:lineRule="auto"/>
        <w:tabs>
          <w:tab w:leader="none" w:pos="15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Consulting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provide to Consultant the consideration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Consulting Consideration</w:t>
      </w:r>
      <w:r>
        <w:rPr>
          <w:rFonts w:ascii="Times New Roman" w:cs="Times New Roman" w:eastAsia="Times New Roman" w:hAnsi="Times New Roman"/>
          <w:sz w:val="20"/>
          <w:szCs w:val="20"/>
          <w:color w:val="auto"/>
        </w:rPr>
        <w:t xml:space="preserve">”). For the avoidance of doubt, Consultant shall not be entitled to any other payment or consideration in exchange for the Services except as otherwise specified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right="20" w:firstLine="767"/>
        <w:spacing w:after="0" w:line="250" w:lineRule="auto"/>
        <w:tabs>
          <w:tab w:leader="none" w:pos="15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shall not be authorized to incur on behalf of the Company any expenses and will be responsible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expenses incurred while performing the Services unless otherwise agreed to by the CEO, which consent shall be evidenced in writing for any expenses in excess of $100.00. As a condition to receipt of reimbursement, Consultant shall be required to submit to the Company reasonable evidence that the amount involved was both reasonable and necessary to the Services provided under this Agreement.</w:t>
      </w:r>
    </w:p>
    <w:p>
      <w:pPr>
        <w:spacing w:after="0" w:line="175" w:lineRule="exact"/>
        <w:rPr>
          <w:rFonts w:ascii="Times New Roman" w:cs="Times New Roman" w:eastAsia="Times New Roman" w:hAnsi="Times New Roman"/>
          <w:sz w:val="20"/>
          <w:szCs w:val="20"/>
          <w:color w:val="auto"/>
        </w:rPr>
      </w:pPr>
    </w:p>
    <w:p>
      <w:pPr>
        <w:ind w:right="40" w:firstLine="767"/>
        <w:spacing w:after="0" w:line="244" w:lineRule="auto"/>
        <w:tabs>
          <w:tab w:leader="none" w:pos="15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Options, Stock, and Restricted Stock Units</w:t>
      </w:r>
      <w:r>
        <w:rPr>
          <w:rFonts w:ascii="Times New Roman" w:cs="Times New Roman" w:eastAsia="Times New Roman" w:hAnsi="Times New Roman"/>
          <w:sz w:val="20"/>
          <w:szCs w:val="20"/>
          <w:color w:val="auto"/>
        </w:rPr>
        <w:t>. Executive currently has options to purchase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common stock (the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and restricted stock units (“RSUs”) pursuant to the Company’s 2015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xml:space="preserve">”). Under the terms of the Plan (and the Executive’s award agreements), vesting of the Options and RSUs will continue during the Consulting Period based on Consultant’s having been continuously a Service Provider (as defined in the Plan) and will cease as of the end of the Consulting Period. Except as provided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Consultant’s rights to exercise his vested Options will be as set forth in the Plan. Consultant’s unvested RSUs and unvested Options will expire upon the termination of his being a Service Provider but in no event later than the end of the Consulting Period. Except as provided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nothing herein shall be deemed to modify the terms of Executive’s Options or RSUs.</w:t>
      </w:r>
    </w:p>
    <w:p>
      <w:pPr>
        <w:spacing w:after="0" w:line="181" w:lineRule="exact"/>
        <w:rPr>
          <w:rFonts w:ascii="Times New Roman" w:cs="Times New Roman" w:eastAsia="Times New Roman" w:hAnsi="Times New Roman"/>
          <w:sz w:val="20"/>
          <w:szCs w:val="20"/>
          <w:color w:val="auto"/>
        </w:rPr>
      </w:pPr>
    </w:p>
    <w:p>
      <w:pPr>
        <w:ind w:right="640" w:firstLine="767"/>
        <w:spacing w:after="0" w:line="273" w:lineRule="auto"/>
        <w:tabs>
          <w:tab w:leader="none" w:pos="15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Compensation or Benefits</w:t>
      </w:r>
      <w:r>
        <w:rPr>
          <w:rFonts w:ascii="Times New Roman" w:cs="Times New Roman" w:eastAsia="Times New Roman" w:hAnsi="Times New Roman"/>
          <w:sz w:val="20"/>
          <w:szCs w:val="20"/>
          <w:color w:val="auto"/>
        </w:rPr>
        <w:t>. Executive acknowledges that, except as expressly provided in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will not receive any additional compensation, severance or benefits after the Resignation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ind w:left="-660" w:right="60" w:firstLine="767"/>
        <w:spacing w:after="0" w:line="245" w:lineRule="auto"/>
        <w:tabs>
          <w:tab w:leader="none" w:pos="89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Consulting Term and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shall serve as a consultant to the Company for a period commencing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Resignation Date and terminating on November 1, 2021 (the “</w:t>
      </w:r>
      <w:r>
        <w:rPr>
          <w:rFonts w:ascii="Times New Roman" w:cs="Times New Roman" w:eastAsia="Times New Roman" w:hAnsi="Times New Roman"/>
          <w:sz w:val="20"/>
          <w:szCs w:val="20"/>
          <w:u w:val="single" w:color="auto"/>
          <w:color w:val="auto"/>
        </w:rPr>
        <w:t>Consulting Period</w:t>
      </w:r>
      <w:r>
        <w:rPr>
          <w:rFonts w:ascii="Times New Roman" w:cs="Times New Roman" w:eastAsia="Times New Roman" w:hAnsi="Times New Roman"/>
          <w:sz w:val="20"/>
          <w:szCs w:val="20"/>
          <w:color w:val="auto"/>
        </w:rPr>
        <w:t>”). Notwithstanding the above, without waiving any other rights or remedies, the Company may immediately terminate the Consulting Period and its corresponding obligation to pay the Consultant the Consulting Consideration upon the Consultant’s breach of any provision of this Agreement. In the event of such termination, Consultant shall not be provided consideration for any portion of the Services that have been performed prior to the termination. Further, Consultant may terminate the Consulting Period at any time, for any reason, upon written notice to the Company, which termination shall extinguish the Company’s obligation to provide the Consultant any Consulting Consideration.</w:t>
      </w:r>
    </w:p>
    <w:p>
      <w:pPr>
        <w:spacing w:after="0" w:line="179" w:lineRule="exact"/>
        <w:rPr>
          <w:rFonts w:ascii="Times New Roman" w:cs="Times New Roman" w:eastAsia="Times New Roman" w:hAnsi="Times New Roman"/>
          <w:sz w:val="20"/>
          <w:szCs w:val="20"/>
          <w:color w:val="auto"/>
        </w:rPr>
      </w:pPr>
    </w:p>
    <w:p>
      <w:pPr>
        <w:ind w:left="-660" w:right="80" w:firstLine="767"/>
        <w:spacing w:after="0" w:line="256" w:lineRule="auto"/>
        <w:tabs>
          <w:tab w:leader="none" w:pos="89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Independent Contractor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Consultant’s relationship with the Company will be that of an independent contractor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of an employee. Consultant will not be entitled to any of the benefits which the Company may make available to its employees, including but not limited to, group health or life insurance, profit-sharing or retirement benefits.</w:t>
      </w:r>
    </w:p>
    <w:p>
      <w:pPr>
        <w:spacing w:after="0" w:line="168" w:lineRule="exact"/>
        <w:rPr>
          <w:rFonts w:ascii="Times New Roman" w:cs="Times New Roman" w:eastAsia="Times New Roman" w:hAnsi="Times New Roman"/>
          <w:sz w:val="20"/>
          <w:szCs w:val="20"/>
          <w:color w:val="auto"/>
        </w:rPr>
      </w:pPr>
    </w:p>
    <w:p>
      <w:pPr>
        <w:ind w:left="-660" w:right="40" w:firstLine="767"/>
        <w:spacing w:after="0" w:line="245" w:lineRule="auto"/>
        <w:tabs>
          <w:tab w:leader="none" w:pos="9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Provision of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shall be solely responsible for determining the method, details and 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performing the Services. Consultant may, at Consultant’s own expense, employ or engage the services of such employees, subcontractors, partners or agents, as Consultant deems necessary to perform the Services (collectively, the “</w:t>
      </w:r>
      <w:r>
        <w:rPr>
          <w:rFonts w:ascii="Times New Roman" w:cs="Times New Roman" w:eastAsia="Times New Roman" w:hAnsi="Times New Roman"/>
          <w:sz w:val="20"/>
          <w:szCs w:val="20"/>
          <w:u w:val="single" w:color="auto"/>
          <w:color w:val="auto"/>
        </w:rPr>
        <w:t>Assistants</w:t>
      </w:r>
      <w:r>
        <w:rPr>
          <w:rFonts w:ascii="Times New Roman" w:cs="Times New Roman" w:eastAsia="Times New Roman" w:hAnsi="Times New Roman"/>
          <w:sz w:val="20"/>
          <w:szCs w:val="20"/>
          <w:color w:val="auto"/>
        </w:rPr>
        <w:t xml:space="preserve">”). The Assistants are not and shall not be employees of the Company, and Consultant shall be wholly responsible for the professional performance of the Services by the Assistants such that the results are satisfactory to the Company. Consultant shall expressly advise the Assistants of the terms of this Agreement, and shall require each Assistant to execute and deliver to the Company a Confidential Information and Invention Assignment Agreement substantially in the form attached to this Agreement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Confidentiality Agreement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660" w:right="20" w:firstLine="1525"/>
        <w:spacing w:after="0" w:line="256" w:lineRule="auto"/>
        <w:tabs>
          <w:tab w:leader="none" w:pos="172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Authority to Bind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acknowledges and agrees that Consultant and its Assistants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authority to enter into contracts that bind the Company or create obligations on the part of the Company without the prior written authorization of the Company.</w:t>
      </w:r>
    </w:p>
    <w:p>
      <w:pPr>
        <w:spacing w:after="0" w:line="168" w:lineRule="exact"/>
        <w:rPr>
          <w:rFonts w:ascii="Times New Roman" w:cs="Times New Roman" w:eastAsia="Times New Roman" w:hAnsi="Times New Roman"/>
          <w:sz w:val="20"/>
          <w:szCs w:val="20"/>
          <w:color w:val="auto"/>
        </w:rPr>
      </w:pPr>
    </w:p>
    <w:p>
      <w:pPr>
        <w:jc w:val="both"/>
        <w:ind w:left="-660" w:right="60" w:firstLine="1525"/>
        <w:spacing w:after="0" w:line="250" w:lineRule="auto"/>
        <w:tabs>
          <w:tab w:leader="none" w:pos="173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acknowledges and agrees that Consultant and its Assistants shall not be eligible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Company employee benefits and, to the extent Consultant otherwise would be eligible for any Company employee benefits but for the express terms of this Agreement, Consultant (on behalf of itself and its employees) hereby expressly declines to participate in such Company employee benefits.</w:t>
      </w:r>
    </w:p>
    <w:p>
      <w:pPr>
        <w:spacing w:after="0" w:line="175" w:lineRule="exact"/>
        <w:rPr>
          <w:rFonts w:ascii="Times New Roman" w:cs="Times New Roman" w:eastAsia="Times New Roman" w:hAnsi="Times New Roman"/>
          <w:sz w:val="20"/>
          <w:szCs w:val="20"/>
          <w:color w:val="auto"/>
        </w:rPr>
      </w:pPr>
    </w:p>
    <w:p>
      <w:pPr>
        <w:ind w:left="-660" w:firstLine="1525"/>
        <w:spacing w:after="0" w:line="245" w:lineRule="auto"/>
        <w:tabs>
          <w:tab w:leader="none" w:pos="172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Withholding; 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shall have full responsibility for applicable withholding taxes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compensation paid to Consultant or its Assistants under this Agreement, and for compliance with all applicable labor and employment requirements with respect to Consultant’s self-employment, sole proprietorship or other form of business organization, and with respect to the Assistants, including state worker’s compensation insurance coverage requirements and any U.S. immigration visa requirements. Consultant agrees to indemnify, defend and hold the Company harmless from any liability for, or assessment of, any claims or penalties with respect to such withholding taxes, labor or employment requirements, including any liability for, or assessment of, withholding taxes imposed on the Company by the relevant taxing authorities with respect to any compensation paid to Consultant or its Assistants.</w:t>
      </w:r>
    </w:p>
    <w:p>
      <w:pPr>
        <w:spacing w:after="0" w:line="179" w:lineRule="exact"/>
        <w:rPr>
          <w:rFonts w:ascii="Times New Roman" w:cs="Times New Roman" w:eastAsia="Times New Roman" w:hAnsi="Times New Roman"/>
          <w:sz w:val="20"/>
          <w:szCs w:val="20"/>
          <w:color w:val="auto"/>
        </w:rPr>
      </w:pPr>
    </w:p>
    <w:p>
      <w:pPr>
        <w:ind w:left="-660" w:right="40" w:firstLine="767"/>
        <w:spacing w:after="0" w:line="276" w:lineRule="auto"/>
        <w:tabs>
          <w:tab w:leader="none" w:pos="987"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Supervision of Consultant’s Services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of the services to be performed by Consultant, including but not limited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Services, will be as agreed between Consultant and the CEO. Consultant will be required to report to the Chief Executive Officer concerning the Services performed under this Agreement. The nature and frequency of these reports will be left to the discretion of the CEO.</w:t>
      </w:r>
    </w:p>
    <w:p>
      <w:pPr>
        <w:spacing w:after="0" w:line="150" w:lineRule="exact"/>
        <w:rPr>
          <w:rFonts w:ascii="Times New Roman" w:cs="Times New Roman" w:eastAsia="Times New Roman" w:hAnsi="Times New Roman"/>
          <w:sz w:val="19"/>
          <w:szCs w:val="19"/>
          <w:color w:val="auto"/>
        </w:rPr>
      </w:pPr>
    </w:p>
    <w:p>
      <w:pPr>
        <w:ind w:left="-660" w:right="100" w:firstLine="767"/>
        <w:spacing w:after="0" w:line="260" w:lineRule="auto"/>
        <w:tabs>
          <w:tab w:leader="none" w:pos="99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Consulting or Other Services for Competitors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Consultant represents and warrants that Consultant does not presently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perform or intend to perform, during the term of the Agreement, consulting or other services for, or engage in or intend to engage in an employment relationship with, companies whose businesses or proposed businesses in any way involve products or services which would be competitive with the Company’s products or services, or those products or services proposed or in development by the Company during the term of the Agreement (except for those companies, if any, listed on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hereto). If, however, Consultant decides to do so, Consultant agrees that, in advance of accepting such work, Consultant will promptly notify the Company in writing, specifying the organization with which Consultant proposes to consult, provide services, or become employed by and to provide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66675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80"/>
          </w:cols>
          <w:pgMar w:left="980" w:top="329" w:right="339" w:bottom="1440" w:gutter="0" w:footer="0" w:header="0"/>
        </w:sectPr>
      </w:pPr>
    </w:p>
    <w:bookmarkStart w:id="92" w:name="page93"/>
    <w:bookmarkEnd w:id="92"/>
    <w:p>
      <w:pPr>
        <w:ind w:right="100"/>
        <w:spacing w:after="0" w:line="246" w:lineRule="auto"/>
        <w:rPr>
          <w:sz w:val="20"/>
          <w:szCs w:val="20"/>
          <w:color w:val="auto"/>
        </w:rPr>
      </w:pPr>
      <w:r>
        <w:rPr>
          <w:rFonts w:ascii="Times New Roman" w:cs="Times New Roman" w:eastAsia="Times New Roman" w:hAnsi="Times New Roman"/>
          <w:sz w:val="20"/>
          <w:szCs w:val="20"/>
          <w:color w:val="auto"/>
        </w:rPr>
        <w:t>sufficient to allow the Company to determine if such work would conflict with the terms of this Agreement, including the terms of the Confidentiality Agreement, the interests of the Company or further services which the Company might request of Consultant. If the Company determines that such work conflicts with the terms of this Agreement, the Company reserves the right to terminate this Agreement immediately. In no event shall any of the Services be performed for the Company at the facilities of a third party or using the resources of a third party.</w:t>
      </w:r>
    </w:p>
    <w:p>
      <w:pPr>
        <w:spacing w:after="0" w:line="181" w:lineRule="exact"/>
        <w:rPr>
          <w:sz w:val="20"/>
          <w:szCs w:val="20"/>
          <w:color w:val="auto"/>
        </w:rPr>
      </w:pPr>
    </w:p>
    <w:p>
      <w:pPr>
        <w:ind w:right="20" w:firstLine="767"/>
        <w:spacing w:after="0" w:line="256" w:lineRule="auto"/>
        <w:tabs>
          <w:tab w:leader="none" w:pos="165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Confidential Information and Invention Assignment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shall sign, or has signed, a Confidential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and Invention Assignment Agreement in the form set forth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on or before the date Consultant begins providing the Services.</w:t>
      </w:r>
    </w:p>
    <w:p>
      <w:pPr>
        <w:spacing w:after="0" w:line="168" w:lineRule="exact"/>
        <w:rPr>
          <w:rFonts w:ascii="Times New Roman" w:cs="Times New Roman" w:eastAsia="Times New Roman" w:hAnsi="Times New Roman"/>
          <w:sz w:val="20"/>
          <w:szCs w:val="20"/>
          <w:color w:val="auto"/>
        </w:rPr>
      </w:pPr>
    </w:p>
    <w:p>
      <w:pPr>
        <w:ind w:firstLine="767"/>
        <w:spacing w:after="0" w:line="242" w:lineRule="auto"/>
        <w:tabs>
          <w:tab w:leader="none" w:pos="165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Conflicts with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represents and warrants that neither Consultant nor any of the Assistants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any pre-existing obligation in conflict or in any way inconsistent with the provisions of this Agreement. Consultant represents and warrants that Consultant’s performance of all the terms of this Agreement will not breach any agreement to keep in confidence proprietary information acquired by Consultant in confidence or in trust prior to commencement of this Agreement. Consultant warrants that Consultant has the right to disclose and/or or use all ideas, processes, techniques and other information, if any, which Consultant has gained from third parties, and which Consultant discloses to the Company or uses in the course of performance of this Agreement, without liability to such third parties. Notwithstanding the foregoing, Consultant agrees that Consultant shall not bundle with or incorporate into any deliveries provided to the Company herewith any third party products, ideas, processes, or other techniques, without the express, written prior approval of the Company. Consultant represents and warrants that Consultant has not granted and will not grant any rights or licenses to any intellectual property or technology that would conflict with Consultant’s obligations under this Agreement. Consultant will not knowingly infringe upon any copyright, patent, trade secret or other property right of any former client, employer or third party in the performance of the Services.</w:t>
      </w:r>
    </w:p>
    <w:p>
      <w:pPr>
        <w:spacing w:after="0" w:line="187" w:lineRule="exact"/>
        <w:rPr>
          <w:rFonts w:ascii="Times New Roman" w:cs="Times New Roman" w:eastAsia="Times New Roman" w:hAnsi="Times New Roman"/>
          <w:sz w:val="20"/>
          <w:szCs w:val="20"/>
          <w:color w:val="auto"/>
        </w:rPr>
      </w:pPr>
    </w:p>
    <w:p>
      <w:pPr>
        <w:ind w:left="1660" w:hanging="893"/>
        <w:spacing w:after="0"/>
        <w:tabs>
          <w:tab w:leader="none" w:pos="166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ind w:firstLine="1525"/>
        <w:spacing w:after="0" w:line="256" w:lineRule="auto"/>
        <w:tabs>
          <w:tab w:leader="none" w:pos="238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validity, interpretation, construction and performance of this Agreement, and all acts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pursuant hereto and the rights and obligations of the parties hereto shall be governed, construed and interpreted in accordance with the laws of the state of California, without giving effect to principles of conflicts of law.</w:t>
      </w:r>
    </w:p>
    <w:p>
      <w:pPr>
        <w:spacing w:after="0" w:line="168" w:lineRule="exact"/>
        <w:rPr>
          <w:rFonts w:ascii="Times New Roman" w:cs="Times New Roman" w:eastAsia="Times New Roman" w:hAnsi="Times New Roman"/>
          <w:sz w:val="20"/>
          <w:szCs w:val="20"/>
          <w:color w:val="auto"/>
        </w:rPr>
      </w:pPr>
    </w:p>
    <w:p>
      <w:pPr>
        <w:ind w:firstLine="1525"/>
        <w:spacing w:after="0" w:line="256" w:lineRule="auto"/>
        <w:tabs>
          <w:tab w:leader="none" w:pos="239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sets forth the entire agreement and understanding of the parties relating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subject matter herein and supersedes all prior or contemporaneous discussions, understandings and agreements, whether oral or written, between them relating to the subject matter hereof.</w:t>
      </w:r>
    </w:p>
    <w:p>
      <w:pPr>
        <w:spacing w:after="0" w:line="168" w:lineRule="exact"/>
        <w:rPr>
          <w:rFonts w:ascii="Times New Roman" w:cs="Times New Roman" w:eastAsia="Times New Roman" w:hAnsi="Times New Roman"/>
          <w:sz w:val="20"/>
          <w:szCs w:val="20"/>
          <w:color w:val="auto"/>
        </w:rPr>
      </w:pPr>
    </w:p>
    <w:p>
      <w:pPr>
        <w:ind w:right="460" w:firstLine="1525"/>
        <w:spacing w:after="0" w:line="256" w:lineRule="auto"/>
        <w:tabs>
          <w:tab w:leader="none" w:pos="238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and Waivers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modification of or amendment to this Agreement, nor any waiver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under this Agreement, shall be effective unless in writing signed by the parties to this Agreement. No delay or failure to require performance of any provision of this Agreement shall constitute a waiver of that provision as to that or any other instance.</w:t>
      </w:r>
    </w:p>
    <w:p>
      <w:pPr>
        <w:spacing w:after="0" w:line="168" w:lineRule="exact"/>
        <w:rPr>
          <w:rFonts w:ascii="Times New Roman" w:cs="Times New Roman" w:eastAsia="Times New Roman" w:hAnsi="Times New Roman"/>
          <w:sz w:val="20"/>
          <w:szCs w:val="20"/>
          <w:color w:val="auto"/>
        </w:rPr>
      </w:pPr>
    </w:p>
    <w:p>
      <w:pPr>
        <w:ind w:right="60" w:firstLine="1525"/>
        <w:spacing w:after="0" w:line="247" w:lineRule="auto"/>
        <w:tabs>
          <w:tab w:leader="none" w:pos="239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in this Agreement, this Agreement, and the rights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80" w:lineRule="exact"/>
        <w:rPr>
          <w:rFonts w:ascii="Times New Roman" w:cs="Times New Roman" w:eastAsia="Times New Roman" w:hAnsi="Times New Roman"/>
          <w:sz w:val="20"/>
          <w:szCs w:val="20"/>
          <w:color w:val="auto"/>
        </w:rPr>
      </w:pPr>
    </w:p>
    <w:p>
      <w:pPr>
        <w:ind w:right="160" w:firstLine="1525"/>
        <w:spacing w:after="0" w:line="247" w:lineRule="auto"/>
        <w:tabs>
          <w:tab w:leader="none" w:pos="238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notice, demand or request required or permitted to be given under this Agreement shall be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both"/>
        <w:ind w:left="-140" w:right="40" w:firstLine="1525"/>
        <w:spacing w:after="0" w:line="268" w:lineRule="auto"/>
        <w:tabs>
          <w:tab w:leader="none" w:pos="222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one or more provisions of this Agreement are held to be unenforceable under applicable law,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parties 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58" w:lineRule="exact"/>
        <w:rPr>
          <w:rFonts w:ascii="Times New Roman" w:cs="Times New Roman" w:eastAsia="Times New Roman" w:hAnsi="Times New Roman"/>
          <w:sz w:val="19"/>
          <w:szCs w:val="19"/>
          <w:color w:val="auto"/>
        </w:rPr>
      </w:pPr>
    </w:p>
    <w:p>
      <w:pPr>
        <w:ind w:left="-140" w:right="20" w:firstLine="1525"/>
        <w:spacing w:after="0" w:line="256" w:lineRule="auto"/>
        <w:tabs>
          <w:tab w:leader="none" w:pos="225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is the result of negotiations between and has been reviewed by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and their respective counsel, if any; accordingly, this Agreement shall be deemed to be the product of all of the parties hereto, and no ambiguity shall be construed in favor of or against any one of the parties hereto.</w:t>
      </w:r>
    </w:p>
    <w:p>
      <w:pPr>
        <w:spacing w:after="0" w:line="168" w:lineRule="exact"/>
        <w:rPr>
          <w:rFonts w:ascii="Times New Roman" w:cs="Times New Roman" w:eastAsia="Times New Roman" w:hAnsi="Times New Roman"/>
          <w:sz w:val="20"/>
          <w:szCs w:val="20"/>
          <w:color w:val="auto"/>
        </w:rPr>
      </w:pPr>
    </w:p>
    <w:p>
      <w:pPr>
        <w:ind w:left="-140" w:right="400" w:firstLine="1525"/>
        <w:spacing w:after="0" w:line="273" w:lineRule="auto"/>
        <w:tabs>
          <w:tab w:leader="none" w:pos="225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be executed in any number of counterparts, each of which when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and delivered shall be deemed an original, and all of which together shall constitute one and the same agreement.</w:t>
      </w:r>
    </w:p>
    <w:p>
      <w:pPr>
        <w:spacing w:after="0" w:line="151" w:lineRule="exact"/>
        <w:rPr>
          <w:rFonts w:ascii="Times New Roman" w:cs="Times New Roman" w:eastAsia="Times New Roman" w:hAnsi="Times New Roman"/>
          <w:sz w:val="20"/>
          <w:szCs w:val="20"/>
          <w:color w:val="auto"/>
        </w:rPr>
      </w:pPr>
    </w:p>
    <w:p>
      <w:pPr>
        <w:ind w:left="-140" w:firstLine="1525"/>
        <w:spacing w:after="0" w:line="250" w:lineRule="auto"/>
        <w:tabs>
          <w:tab w:leader="none" w:pos="221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may, in its sole discretion, decide to deliver any documents related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any notices required by applicable law or the Company’s Certificate of Incorporation or Bylaws by email or any other electronic means. Consultant hereby consents to receive such documents and notices by such electronic delivery and agrees to participate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-2193925</wp:posOffset>
            </wp:positionV>
            <wp:extent cx="31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66675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460" w:top="329"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The parties have executed this Agreement as of the date first written above.</w:t>
      </w:r>
    </w:p>
    <w:p>
      <w:pPr>
        <w:spacing w:after="0" w:line="207" w:lineRule="exact"/>
        <w:rPr>
          <w:sz w:val="20"/>
          <w:szCs w:val="20"/>
          <w:color w:val="auto"/>
        </w:rPr>
      </w:pPr>
    </w:p>
    <w:tbl>
      <w:tblPr>
        <w:tblLayout w:type="fixed"/>
        <w:tblInd w:w="4180" w:type="dxa"/>
        <w:tblCellMar>
          <w:top w:w="0" w:type="dxa"/>
          <w:left w:w="0" w:type="dxa"/>
          <w:bottom w:w="0" w:type="dxa"/>
          <w:right w:w="0" w:type="dxa"/>
        </w:tblCellMar>
      </w:tblPr>
      <w:tr>
        <w:trPr>
          <w:trHeight w:val="286"/>
        </w:trPr>
        <w:tc>
          <w:tcPr>
            <w:tcW w:w="1060" w:type="dxa"/>
            <w:vAlign w:val="bottom"/>
          </w:tcPr>
          <w:p>
            <w:pPr>
              <w:spacing w:after="0"/>
              <w:rPr>
                <w:sz w:val="24"/>
                <w:szCs w:val="24"/>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THE COMPANY</w:t>
            </w:r>
            <w:r>
              <w:rPr>
                <w:rFonts w:ascii="Times New Roman" w:cs="Times New Roman" w:eastAsia="Times New Roman" w:hAnsi="Times New Roman"/>
                <w:sz w:val="22"/>
                <w:szCs w:val="22"/>
                <w:color w:val="auto"/>
              </w:rPr>
              <w:t>:</w:t>
            </w:r>
          </w:p>
        </w:tc>
      </w:tr>
      <w:tr>
        <w:trPr>
          <w:trHeight w:val="459"/>
        </w:trPr>
        <w:tc>
          <w:tcPr>
            <w:tcW w:w="5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OOMA, INC.</w:t>
            </w:r>
          </w:p>
        </w:tc>
      </w:tr>
      <w:tr>
        <w:trPr>
          <w:trHeight w:val="44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Eric B. Stang</w:t>
            </w:r>
          </w:p>
        </w:tc>
      </w:tr>
      <w:tr>
        <w:trPr>
          <w:trHeight w:val="237"/>
        </w:trPr>
        <w:tc>
          <w:tcPr>
            <w:tcW w:w="1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480" w:type="dxa"/>
            <w:vAlign w:val="bottom"/>
          </w:tcPr>
          <w:p>
            <w:pPr>
              <w:spacing w:after="0"/>
              <w:rPr>
                <w:sz w:val="20"/>
                <w:szCs w:val="20"/>
                <w:color w:val="auto"/>
              </w:rPr>
            </w:pPr>
          </w:p>
        </w:tc>
        <w:tc>
          <w:tcPr>
            <w:tcW w:w="376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Eric B. Stang</w:t>
            </w:r>
          </w:p>
        </w:tc>
      </w:tr>
      <w:tr>
        <w:trPr>
          <w:trHeight w:val="236"/>
        </w:trPr>
        <w:tc>
          <w:tcPr>
            <w:tcW w:w="1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480" w:type="dxa"/>
            <w:vAlign w:val="bottom"/>
          </w:tcPr>
          <w:p>
            <w:pPr>
              <w:spacing w:after="0"/>
              <w:rPr>
                <w:sz w:val="20"/>
                <w:szCs w:val="20"/>
                <w:color w:val="auto"/>
              </w:rPr>
            </w:pPr>
          </w:p>
        </w:tc>
        <w:tc>
          <w:tcPr>
            <w:tcW w:w="376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CEO</w:t>
            </w:r>
          </w:p>
        </w:tc>
      </w:tr>
      <w:tr>
        <w:trPr>
          <w:trHeight w:val="237"/>
        </w:trPr>
        <w:tc>
          <w:tcPr>
            <w:tcW w:w="1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Date:</w:t>
            </w:r>
          </w:p>
        </w:tc>
        <w:tc>
          <w:tcPr>
            <w:tcW w:w="480" w:type="dxa"/>
            <w:vAlign w:val="bottom"/>
          </w:tcPr>
          <w:p>
            <w:pPr>
              <w:spacing w:after="0"/>
              <w:rPr>
                <w:sz w:val="20"/>
                <w:szCs w:val="20"/>
                <w:color w:val="auto"/>
              </w:rPr>
            </w:pPr>
          </w:p>
        </w:tc>
        <w:tc>
          <w:tcPr>
            <w:tcW w:w="376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June 15, 2021</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48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525 Almanor Avenue</w:t>
            </w:r>
          </w:p>
        </w:tc>
      </w:tr>
      <w:tr>
        <w:trPr>
          <w:trHeight w:val="243"/>
        </w:trPr>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Sunnyvale, CA 94085</w:t>
            </w:r>
          </w:p>
        </w:tc>
      </w:tr>
      <w:tr>
        <w:trPr>
          <w:trHeight w:val="282"/>
        </w:trPr>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United States</w:t>
            </w:r>
          </w:p>
        </w:tc>
      </w:tr>
      <w:tr>
        <w:trPr>
          <w:trHeight w:val="675"/>
        </w:trPr>
        <w:tc>
          <w:tcPr>
            <w:tcW w:w="1060" w:type="dxa"/>
            <w:vAlign w:val="bottom"/>
          </w:tcPr>
          <w:p>
            <w:pPr>
              <w:spacing w:after="0"/>
              <w:rPr>
                <w:sz w:val="24"/>
                <w:szCs w:val="24"/>
                <w:color w:val="auto"/>
              </w:rPr>
            </w:pPr>
          </w:p>
        </w:tc>
        <w:tc>
          <w:tcPr>
            <w:tcW w:w="4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CONSULTANT:</w:t>
            </w:r>
          </w:p>
        </w:tc>
      </w:tr>
      <w:tr>
        <w:trPr>
          <w:trHeight w:val="66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Ravi Narula</w:t>
            </w:r>
          </w:p>
        </w:tc>
      </w:tr>
      <w:tr>
        <w:trPr>
          <w:trHeight w:val="237"/>
        </w:trPr>
        <w:tc>
          <w:tcPr>
            <w:tcW w:w="1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7"/>
              </w:rPr>
              <w:t>Print Name:</w:t>
            </w:r>
          </w:p>
        </w:tc>
        <w:tc>
          <w:tcPr>
            <w:tcW w:w="480" w:type="dxa"/>
            <w:vAlign w:val="bottom"/>
          </w:tcPr>
          <w:p>
            <w:pPr>
              <w:spacing w:after="0"/>
              <w:rPr>
                <w:sz w:val="20"/>
                <w:szCs w:val="20"/>
                <w:color w:val="auto"/>
              </w:rPr>
            </w:pPr>
          </w:p>
        </w:tc>
        <w:tc>
          <w:tcPr>
            <w:tcW w:w="376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Ravi Narula</w:t>
            </w:r>
          </w:p>
        </w:tc>
      </w:tr>
      <w:tr>
        <w:trPr>
          <w:trHeight w:val="237"/>
        </w:trPr>
        <w:tc>
          <w:tcPr>
            <w:tcW w:w="1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Date:</w:t>
            </w:r>
          </w:p>
        </w:tc>
        <w:tc>
          <w:tcPr>
            <w:tcW w:w="480" w:type="dxa"/>
            <w:vAlign w:val="bottom"/>
          </w:tcPr>
          <w:p>
            <w:pPr>
              <w:spacing w:after="0"/>
              <w:rPr>
                <w:sz w:val="20"/>
                <w:szCs w:val="20"/>
                <w:color w:val="auto"/>
              </w:rPr>
            </w:pPr>
          </w:p>
        </w:tc>
        <w:tc>
          <w:tcPr>
            <w:tcW w:w="376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June 15, 2021</w:t>
            </w:r>
          </w:p>
        </w:tc>
      </w:tr>
    </w:tbl>
    <w:p>
      <w:pPr>
        <w:spacing w:after="0" w:line="18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Address:</w:t>
      </w:r>
    </w:p>
    <w:p>
      <w:pPr>
        <w:spacing w:after="0" w:line="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7F7F7F"/>
        </w:rPr>
        <w:t>Exhibit 10.13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w:t>
      </w:r>
    </w:p>
    <w:p>
      <w:pPr>
        <w:spacing w:after="0" w:line="200" w:lineRule="exact"/>
        <w:rPr>
          <w:sz w:val="20"/>
          <w:szCs w:val="20"/>
          <w:color w:val="auto"/>
        </w:rPr>
      </w:pPr>
    </w:p>
    <w:p>
      <w:pPr>
        <w:spacing w:after="0" w:line="23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Pursuant to the Transition and Consulting Agreement entered into by and between Ooma,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Ravi Narula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dated June 15, 2021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Executive hereby enters into this General Release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Any term not otherwise defined herein shall have the meaning ascribed in the Agreement.</w:t>
      </w:r>
    </w:p>
    <w:p>
      <w:pPr>
        <w:spacing w:after="0" w:line="174" w:lineRule="exact"/>
        <w:rPr>
          <w:sz w:val="20"/>
          <w:szCs w:val="20"/>
          <w:color w:val="auto"/>
        </w:rPr>
      </w:pPr>
    </w:p>
    <w:p>
      <w:pPr>
        <w:jc w:val="both"/>
        <w:ind w:left="880" w:hanging="440"/>
        <w:spacing w:after="0" w:line="241" w:lineRule="auto"/>
        <w:tabs>
          <w:tab w:leader="none" w:pos="8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w:t>
      </w:r>
      <w:r>
        <w:rPr>
          <w:rFonts w:ascii="Times New Roman" w:cs="Times New Roman" w:eastAsia="Times New Roman" w:hAnsi="Times New Roman"/>
          <w:sz w:val="20"/>
          <w:szCs w:val="20"/>
          <w:color w:val="auto"/>
        </w:rPr>
        <w:t>. In consideration for the Consulting Consideration, and for other good and valuable consideration, the sufficiency of which Executive hereby acknowledges, Executive hereby waives and releases to the maximum extent permitted by applicable law any and all claims or causes of action, whether known or unknown, against the Company and/or its predecessors, successors, past or present subsidiaries, affiliates (within the meaning set forth in Rule 12b-2 promulgated under the Securities Exchange Act of 1934, as amended), investors, branches or related entities (collectively, including the Company, the “</w:t>
      </w:r>
      <w:r>
        <w:rPr>
          <w:rFonts w:ascii="Times New Roman" w:cs="Times New Roman" w:eastAsia="Times New Roman" w:hAnsi="Times New Roman"/>
          <w:sz w:val="20"/>
          <w:szCs w:val="20"/>
          <w:u w:val="single" w:color="auto"/>
          <w:color w:val="auto"/>
        </w:rPr>
        <w:t>Entities</w:t>
      </w:r>
      <w:r>
        <w:rPr>
          <w:rFonts w:ascii="Times New Roman" w:cs="Times New Roman" w:eastAsia="Times New Roman" w:hAnsi="Times New Roman"/>
          <w:sz w:val="20"/>
          <w:szCs w:val="20"/>
          <w:color w:val="auto"/>
        </w:rPr>
        <w:t>”) and/or the Entities’ respective past, present, or future insurers, officers, directors, agents, attorneys, employees, stockholders, assigns and employee benefit plans (collectively with the Entities, the “</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with respect to any matter, including, without limitation, any matter related to Executive’s employment with the Company or the termination of that employment relationship. This waiver and release includes, without limitation, claims to unpaid wages, including overtime or minimum wages, bonuses, incentive compensation, equity compensation, vacation pay or any other compensation or benefits; any claims for failure to provide accurate itemized wage statements, failure to timely pay final pay or failure to provide meal or rest breaks; claims for any loss, cost, damage, or expense arising out of any dispute over the non-withholding or other tax treatment or employment classification; claims for attorneys’ fees or costs; claims for penalties; any and all claims for stock, stock options or other equity securities of the Company; claims of wrongful discharge, constructive discharge, emotional distress, defamation, invasion of privacy, fraud, breach of contract, and breach of the covenant of good faith and fair dealing; any claims of discrimination, harassment, or retaliation based on sex, age, race, national origin, disability or on any other protected basis, under any applicable human rights law prohibiting discrimination, harassment and/or retaliation; breaches of applicable employment standards and occupational health and safety legislation, or damages for wrongful dismissal including, without limitation, all claims in respect of statutory entitlements and common law notice; and claims under all other laws, ordinances and regulations.</w:t>
      </w:r>
    </w:p>
    <w:p>
      <w:pPr>
        <w:spacing w:after="0" w:line="188" w:lineRule="exact"/>
        <w:rPr>
          <w:rFonts w:ascii="Times New Roman" w:cs="Times New Roman" w:eastAsia="Times New Roman" w:hAnsi="Times New Roman"/>
          <w:sz w:val="20"/>
          <w:szCs w:val="20"/>
          <w:color w:val="auto"/>
        </w:rPr>
      </w:pPr>
    </w:p>
    <w:p>
      <w:pPr>
        <w:jc w:val="both"/>
        <w:ind w:left="88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covenants not to sue the Released Parties for any of the claims released above, agrees not to participate in any class, collective, representative, or group action that may include any of the claims released above, and will affirmatively opt out of any such class, collective, representative or group action. Further, Executive agrees not to participate in, seek to recover in, or assist in any litigation or investigation by other persons or entities against the Released Parties, except as required by law. Nothing in this Release precludes Executive from participating in any investigation or proceeding before any government agency or body. However, while Executive may file a charge and participate in any such proceeding, by signing this Release, Executive waives any right to bring a lawsuit against the Released Parties and waives any right to any individual monetary recovery in any such proceeding or lawsuit. Nothing in this Release is intended to impede Executive’s ability to report possible securities law violations to the government, or to receive a monetary award from a government administered whistleblower-award program. Executive does not need the prior authorization of the Company to make any such reports or disclosures or to participate or cooperate in any governmental investigation, action or proceeding, and Executive is not required to notify the Company that Executive has made such reports and disclosures or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jc w:val="both"/>
        <w:ind w:left="440"/>
        <w:spacing w:after="0" w:line="249" w:lineRule="auto"/>
        <w:rPr>
          <w:sz w:val="20"/>
          <w:szCs w:val="20"/>
          <w:color w:val="auto"/>
        </w:rPr>
      </w:pPr>
      <w:r>
        <w:rPr>
          <w:rFonts w:ascii="Times New Roman" w:cs="Times New Roman" w:eastAsia="Times New Roman" w:hAnsi="Times New Roman"/>
          <w:sz w:val="20"/>
          <w:szCs w:val="20"/>
          <w:color w:val="auto"/>
        </w:rPr>
        <w:t>participated or cooperated in any governmental investigation, action or proceeding. Nothing in this Release waives Executive’s right to testify or prohibits Executive from testifying in an administrative, legislative, or judicial proceeding concerning alleged criminal conduct or alleged sexual harassment when Executive has been required or requested to attend the proceeding pursuant to a court order, subpoena or written request from an administrative agency or the applicable legislature.</w:t>
      </w:r>
    </w:p>
    <w:p>
      <w:pPr>
        <w:spacing w:after="0" w:line="180" w:lineRule="exact"/>
        <w:rPr>
          <w:sz w:val="20"/>
          <w:szCs w:val="20"/>
          <w:color w:val="auto"/>
        </w:rPr>
      </w:pPr>
    </w:p>
    <w:p>
      <w:pPr>
        <w:jc w:val="both"/>
        <w:ind w:left="440"/>
        <w:spacing w:after="0" w:line="249" w:lineRule="auto"/>
        <w:rPr>
          <w:sz w:val="20"/>
          <w:szCs w:val="20"/>
          <w:color w:val="auto"/>
        </w:rPr>
      </w:pPr>
      <w:r>
        <w:rPr>
          <w:rFonts w:ascii="Times New Roman" w:cs="Times New Roman" w:eastAsia="Times New Roman" w:hAnsi="Times New Roman"/>
          <w:sz w:val="20"/>
          <w:szCs w:val="20"/>
          <w:color w:val="auto"/>
        </w:rPr>
        <w:t>This waiver and release covers only those claims that arose prior to Executive’s execution of this Release. The waiver and release contained in this Release does not apply to any claim which, as a matter of law, cannot be released by private agreement. If any provision of the waiver and release contained in this Release is found to be unenforceable, it shall not affect the enforceability of the remaining provisions and a court shall enforce all remaining provisions to the full extent permitted by law.</w:t>
      </w:r>
    </w:p>
    <w:p>
      <w:pPr>
        <w:spacing w:after="0" w:line="180" w:lineRule="exact"/>
        <w:rPr>
          <w:sz w:val="20"/>
          <w:szCs w:val="20"/>
          <w:color w:val="auto"/>
        </w:rPr>
      </w:pPr>
    </w:p>
    <w:p>
      <w:pPr>
        <w:jc w:val="both"/>
        <w:ind w:left="440" w:hanging="440"/>
        <w:spacing w:after="0" w:line="243" w:lineRule="auto"/>
        <w:tabs>
          <w:tab w:leader="none" w:pos="4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Unknown Claims Waiver</w:t>
      </w:r>
      <w:r>
        <w:rPr>
          <w:rFonts w:ascii="Times New Roman" w:cs="Times New Roman" w:eastAsia="Times New Roman" w:hAnsi="Times New Roman"/>
          <w:sz w:val="20"/>
          <w:szCs w:val="20"/>
          <w:color w:val="auto"/>
        </w:rPr>
        <w:t>. Executive understands and acknowledges that Executive is releasing potentially unknown claims, and that Executive may have limited knowledge with respect to some of the claims being released. Executive acknowledges that there is a risk that, after signing this Release, Executive may learn information that might have affected Executive’s decision to enter into this Release. Executive assumes this risk and all other risks of any mistake in entering into this Release. Executive agrees that this Release is fairly and knowingly made. In addition, Executive expressly waives and releases any and all rights and benefits under any applicable law, which may read substantially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5" w:lineRule="exact"/>
        <w:rPr>
          <w:rFonts w:ascii="Times New Roman" w:cs="Times New Roman" w:eastAsia="Times New Roman" w:hAnsi="Times New Roman"/>
          <w:sz w:val="20"/>
          <w:szCs w:val="20"/>
          <w:color w:val="auto"/>
        </w:rPr>
      </w:pPr>
    </w:p>
    <w:p>
      <w:pPr>
        <w:jc w:val="both"/>
        <w:ind w:left="440" w:right="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and agrees that claims or facts in addition to or different from those which are now known or believed by Executive to exist may hereafter be discovered, but it is Executive’s intention to release all claims that Executive has or may have against the Released Parties, whether known or unknown, suspected or unsuspected.</w:t>
      </w:r>
    </w:p>
    <w:p>
      <w:pPr>
        <w:spacing w:after="0" w:line="174" w:lineRule="exact"/>
        <w:rPr>
          <w:rFonts w:ascii="Times New Roman" w:cs="Times New Roman" w:eastAsia="Times New Roman" w:hAnsi="Times New Roman"/>
          <w:sz w:val="20"/>
          <w:szCs w:val="20"/>
          <w:color w:val="auto"/>
        </w:rPr>
      </w:pPr>
    </w:p>
    <w:p>
      <w:pPr>
        <w:jc w:val="both"/>
        <w:ind w:left="440" w:hanging="440"/>
        <w:spacing w:after="0" w:line="241" w:lineRule="auto"/>
        <w:tabs>
          <w:tab w:leader="none" w:pos="440" w:val="left"/>
        </w:tabs>
        <w:numPr>
          <w:ilvl w:val="0"/>
          <w:numId w:val="34"/>
        </w:numPr>
        <w:rPr>
          <w:rFonts w:ascii="Times New Roman" w:cs="Times New Roman" w:eastAsia="Times New Roman" w:hAnsi="Times New Roman"/>
          <w:sz w:val="20"/>
          <w:szCs w:val="20"/>
          <w:color w:val="FF0000"/>
        </w:rPr>
      </w:pP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Executive acknowledges that Executive is knowingly and voluntarily waiving and releasing any rights Executive may have under the Federal Age Discrimination in Employment Act (“</w:t>
      </w:r>
      <w:r>
        <w:rPr>
          <w:rFonts w:ascii="Times New Roman" w:cs="Times New Roman" w:eastAsia="Times New Roman" w:hAnsi="Times New Roman"/>
          <w:sz w:val="20"/>
          <w:szCs w:val="20"/>
          <w:u w:val="single" w:color="auto"/>
          <w:color w:val="auto"/>
        </w:rPr>
        <w:t>ADEA Waiver</w:t>
      </w:r>
      <w:r>
        <w:rPr>
          <w:rFonts w:ascii="Times New Roman" w:cs="Times New Roman" w:eastAsia="Times New Roman" w:hAnsi="Times New Roman"/>
          <w:sz w:val="20"/>
          <w:szCs w:val="20"/>
          <w:color w:val="auto"/>
        </w:rPr>
        <w:t>”) and that the consideration given for the ADEA Waiver is in addition to anything of value to which Executive is already entitled. Executive further acknowledges that: (a) Executive’s ADEA Waiver does not apply to any claims that may arise after Executive signs this Release; (b) Executive should consult with an attorney prior to executing this Release; (c) Executive has 21 calendar days within which to consider this Release (the “</w:t>
      </w:r>
      <w:r>
        <w:rPr>
          <w:rFonts w:ascii="Times New Roman" w:cs="Times New Roman" w:eastAsia="Times New Roman" w:hAnsi="Times New Roman"/>
          <w:sz w:val="20"/>
          <w:szCs w:val="20"/>
          <w:u w:val="single" w:color="auto"/>
          <w:color w:val="auto"/>
        </w:rPr>
        <w:t>Deadline Date</w:t>
      </w:r>
      <w:r>
        <w:rPr>
          <w:rFonts w:ascii="Times New Roman" w:cs="Times New Roman" w:eastAsia="Times New Roman" w:hAnsi="Times New Roman"/>
          <w:sz w:val="20"/>
          <w:szCs w:val="20"/>
          <w:color w:val="auto"/>
        </w:rPr>
        <w:t>”), although Executive may choose to execute this Release earlier; (d) Executive has 7 calendar days following the execution of this Release to revoke the Release; and (e) this Release will not be effective until the eighth (8</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day after Executive signs this Release provided that Executive has not revoked it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agrees that any modifications, material or otherwise, made to this Release do not restart or affect in any manner the original 21-day consideration period provided in this section. To revoke the Release, Executive must provide a written notice of revocation to the Company prior to the end of the 7-day period. Executive acknowledges that Executive’s consent to this Release is knowing and voluntary. The offer described in this Release will be automatically withdrawn if Executive does not sign the Agreement within the 21-day consideration period.</w:t>
      </w:r>
    </w:p>
    <w:p>
      <w:pPr>
        <w:spacing w:after="0" w:line="200" w:lineRule="exact"/>
        <w:rPr>
          <w:rFonts w:ascii="Times New Roman" w:cs="Times New Roman" w:eastAsia="Times New Roman" w:hAnsi="Times New Roman"/>
          <w:sz w:val="20"/>
          <w:szCs w:val="20"/>
          <w:color w:val="FF0000"/>
        </w:rPr>
      </w:pPr>
    </w:p>
    <w:p>
      <w:pPr>
        <w:spacing w:after="0" w:line="208" w:lineRule="exact"/>
        <w:rPr>
          <w:rFonts w:ascii="Times New Roman" w:cs="Times New Roman" w:eastAsia="Times New Roman" w:hAnsi="Times New Roman"/>
          <w:sz w:val="20"/>
          <w:szCs w:val="20"/>
          <w:color w:val="FF0000"/>
        </w:rPr>
      </w:pPr>
    </w:p>
    <w:p>
      <w:pPr>
        <w:ind w:left="440"/>
        <w:spacing w:after="0"/>
        <w:rPr>
          <w:rFonts w:ascii="Times New Roman" w:cs="Times New Roman" w:eastAsia="Times New Roman" w:hAnsi="Times New Roman"/>
          <w:sz w:val="20"/>
          <w:szCs w:val="20"/>
          <w:color w:val="FF0000"/>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66675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33" w:right="339" w:bottom="1440" w:gutter="0" w:footer="0" w:header="0"/>
        </w:sectPr>
      </w:pPr>
    </w:p>
    <w:bookmarkStart w:id="97" w:name="page98"/>
    <w:bookmarkEnd w:id="97"/>
    <w:p>
      <w:pPr>
        <w:jc w:val="both"/>
        <w:ind w:left="440" w:hanging="440"/>
        <w:spacing w:after="0" w:line="244" w:lineRule="auto"/>
        <w:tabs>
          <w:tab w:leader="none" w:pos="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Acknowledgements</w:t>
      </w:r>
      <w:r>
        <w:rPr>
          <w:rFonts w:ascii="Times New Roman" w:cs="Times New Roman" w:eastAsia="Times New Roman" w:hAnsi="Times New Roman"/>
          <w:sz w:val="20"/>
          <w:szCs w:val="20"/>
          <w:color w:val="auto"/>
        </w:rPr>
        <w:t>. Executive understands and agrees that Executive’s agreement with the terms and conditions of this Release is signified by Executive’s signature hereto and is voluntary, deliberate and informed. Executive acknowledges that this Release provides consideration of value to Executive and that Executive was free to consult an attorney before signing this Release. Executive agrees to strictly comply with all the terms and conditions of this Release and the Agreement. Furthermore, Executive acknowledge that Executive has read and understands this Release and that Executive signs this release of all claims voluntarily, with full appreciation that at no time in the future may Executive pursue any of the rights Executive has waived in this Release.</w:t>
      </w:r>
    </w:p>
    <w:p>
      <w:pPr>
        <w:spacing w:after="0" w:line="185" w:lineRule="exact"/>
        <w:rPr>
          <w:rFonts w:ascii="Times New Roman" w:cs="Times New Roman" w:eastAsia="Times New Roman" w:hAnsi="Times New Roman"/>
          <w:sz w:val="20"/>
          <w:szCs w:val="20"/>
          <w:color w:val="auto"/>
        </w:rPr>
      </w:pPr>
    </w:p>
    <w:p>
      <w:pPr>
        <w:jc w:val="both"/>
        <w:ind w:left="440" w:hanging="440"/>
        <w:spacing w:after="0" w:line="259" w:lineRule="auto"/>
        <w:tabs>
          <w:tab w:leader="none" w:pos="4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Breach</w:t>
      </w:r>
      <w:r>
        <w:rPr>
          <w:rFonts w:ascii="Times New Roman" w:cs="Times New Roman" w:eastAsia="Times New Roman" w:hAnsi="Times New Roman"/>
          <w:sz w:val="19"/>
          <w:szCs w:val="19"/>
          <w:color w:val="auto"/>
        </w:rPr>
        <w:t>. In the event that Executive breaches any of Executive’s obligations under this Release or as otherwise imposed by law, the Company will be entitled to recover all consideration paid or provided under this Release and to obtain all other relief provided by law or equity. Any compensation paid or payable to Executive pursuant to the Agreement and this Release which is subject to recovery under any law, government regulation, order or stock exchange listing requirement, or under any policy of the Company adopted from time to time, will be subject to such deductions and clawback (recovery) as may be required to be made pursuant to such law, government regulation, order, stock exchange listing requirement or policy of the Company. Executive specifically authorizes the Company to withhold from future salary or wages any amounts that may become due under this provision.</w:t>
      </w:r>
    </w:p>
    <w:p>
      <w:pPr>
        <w:spacing w:after="0" w:line="172" w:lineRule="exact"/>
        <w:rPr>
          <w:rFonts w:ascii="Times New Roman" w:cs="Times New Roman" w:eastAsia="Times New Roman" w:hAnsi="Times New Roman"/>
          <w:sz w:val="19"/>
          <w:szCs w:val="19"/>
          <w:color w:val="auto"/>
        </w:rPr>
      </w:pPr>
    </w:p>
    <w:p>
      <w:pPr>
        <w:ind w:left="440" w:hanging="440"/>
        <w:spacing w:after="0" w:line="269" w:lineRule="auto"/>
        <w:tabs>
          <w:tab w:leader="none" w:pos="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r>
        <w:rPr>
          <w:rFonts w:ascii="Times New Roman" w:cs="Times New Roman" w:eastAsia="Times New Roman" w:hAnsi="Times New Roman"/>
          <w:sz w:val="20"/>
          <w:szCs w:val="20"/>
          <w:color w:val="auto"/>
        </w:rPr>
        <w:t>. Nothing contained in this Release shall constitute or be treated as an admission by the Company of any liability, wrongdoing, or violation of law.</w:t>
      </w:r>
    </w:p>
    <w:p>
      <w:pPr>
        <w:spacing w:after="0" w:line="159" w:lineRule="exact"/>
        <w:rPr>
          <w:rFonts w:ascii="Times New Roman" w:cs="Times New Roman" w:eastAsia="Times New Roman" w:hAnsi="Times New Roman"/>
          <w:sz w:val="20"/>
          <w:szCs w:val="20"/>
          <w:color w:val="auto"/>
        </w:rPr>
      </w:pPr>
    </w:p>
    <w:p>
      <w:pPr>
        <w:jc w:val="both"/>
        <w:ind w:left="440" w:hanging="440"/>
        <w:spacing w:after="0" w:line="245" w:lineRule="auto"/>
        <w:tabs>
          <w:tab w:leader="none" w:pos="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Amounts/Benefits Owed</w:t>
      </w:r>
      <w:r>
        <w:rPr>
          <w:rFonts w:ascii="Times New Roman" w:cs="Times New Roman" w:eastAsia="Times New Roman" w:hAnsi="Times New Roman"/>
          <w:sz w:val="20"/>
          <w:szCs w:val="20"/>
          <w:color w:val="auto"/>
        </w:rPr>
        <w:t>. Executive acknowledges and agrees that Executive has been paid for all of Executive’s services with the Company and Executive has not earned any wages, salary, incentive compensation, bonuses, commissions or similar payments or benefits or any other compensation or amounts that have not already been paid to Executive. Executive further agrees that, prior to the execution of this Release, Executive was not entitled to receive any further payments or benefits from the Company, and the only payments and benefits that Executive is entitled to receive from the Company in the future are those specified in the Agreement.</w:t>
      </w:r>
    </w:p>
    <w:p>
      <w:pPr>
        <w:spacing w:after="0" w:line="184" w:lineRule="exact"/>
        <w:rPr>
          <w:rFonts w:ascii="Times New Roman" w:cs="Times New Roman" w:eastAsia="Times New Roman" w:hAnsi="Times New Roman"/>
          <w:sz w:val="20"/>
          <w:szCs w:val="20"/>
          <w:color w:val="auto"/>
        </w:rPr>
      </w:pPr>
    </w:p>
    <w:p>
      <w:pPr>
        <w:jc w:val="both"/>
        <w:ind w:left="440" w:hanging="440"/>
        <w:spacing w:after="0" w:line="243" w:lineRule="auto"/>
        <w:tabs>
          <w:tab w:leader="none" w:pos="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Release, together with the Agreement, embodies the entire agreement of the Company and Executive regarding the subject matter of this Release and, except as specifically provided herein, no provisions of any employee manual, personnel policies, corporate directives or other agreement or document shall be deemed to modify the terms of this Release or the Agreement. No amendment or modification of this Release shall be valid or binding upon Executive or the Company unless made in writing and signed by the Company and Executive. This Release, together with the Agreement, supersedes all prior understandings and agreements addressing severance or separation pay to which Executive and the Company or an affiliate are or were parties, including any previous change in control agreement, severance plan, offer letter provisions, or other employment agreements.</w:t>
      </w:r>
    </w:p>
    <w:p>
      <w:pPr>
        <w:spacing w:after="0" w:line="189" w:lineRule="exact"/>
        <w:rPr>
          <w:sz w:val="20"/>
          <w:szCs w:val="20"/>
          <w:color w:val="auto"/>
        </w:rPr>
      </w:pPr>
    </w:p>
    <w:p>
      <w:pPr>
        <w:ind w:left="440" w:hanging="439"/>
        <w:spacing w:after="0" w:line="269" w:lineRule="auto"/>
        <w:tabs>
          <w:tab w:leader="none" w:pos="42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The Release </w:t>
      </w:r>
      <w:r>
        <w:rPr>
          <w:rFonts w:ascii="Times New Roman" w:cs="Times New Roman" w:eastAsia="Times New Roman" w:hAnsi="Times New Roman"/>
          <w:sz w:val="20"/>
          <w:szCs w:val="20"/>
          <w:color w:val="242424"/>
        </w:rPr>
        <w:t>shall be construed, administered and governed in all respects under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by the applicable laws of the State of California</w:t>
      </w:r>
      <w:r>
        <w:rPr>
          <w:rFonts w:ascii="Times New Roman" w:cs="Times New Roman" w:eastAsia="Times New Roman" w:hAnsi="Times New Roman"/>
          <w:sz w:val="20"/>
          <w:szCs w:val="20"/>
          <w:color w:val="000000"/>
        </w:rPr>
        <w:t>.</w:t>
      </w:r>
    </w:p>
    <w:p>
      <w:pPr>
        <w:spacing w:after="0" w:line="159" w:lineRule="exact"/>
        <w:rPr>
          <w:sz w:val="20"/>
          <w:szCs w:val="20"/>
          <w:color w:val="auto"/>
        </w:rPr>
      </w:pPr>
    </w:p>
    <w:p>
      <w:pPr>
        <w:jc w:val="both"/>
        <w:ind w:left="440" w:hanging="440"/>
        <w:spacing w:after="0" w:line="249" w:lineRule="auto"/>
        <w:tabs>
          <w:tab w:leader="none" w:pos="4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Release shall not affect the validity or enforceability of any other provision of this Release, which shall remain in full force and effect. If a judicial determination is made that any provision of this Release constitutes an unreasonable or otherwise unenforceable restriction against Executive, such provision shall be rendered void only to the extent that such judicial determination finds the provision to be</w:t>
      </w:r>
    </w:p>
    <w:p>
      <w:pPr>
        <w:spacing w:after="0" w:line="390"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66675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33" w:right="339" w:bottom="1440" w:gutter="0" w:footer="0" w:header="0"/>
        </w:sectPr>
      </w:pPr>
    </w:p>
    <w:bookmarkStart w:id="98" w:name="page99"/>
    <w:bookmarkEnd w:id="98"/>
    <w:p>
      <w:pPr>
        <w:jc w:val="both"/>
        <w:ind w:left="440"/>
        <w:spacing w:after="0" w:line="249" w:lineRule="auto"/>
        <w:rPr>
          <w:sz w:val="20"/>
          <w:szCs w:val="20"/>
          <w:color w:val="auto"/>
        </w:rPr>
      </w:pPr>
      <w:r>
        <w:rPr>
          <w:rFonts w:ascii="Times New Roman" w:cs="Times New Roman" w:eastAsia="Times New Roman" w:hAnsi="Times New Roman"/>
          <w:sz w:val="20"/>
          <w:szCs w:val="20"/>
          <w:color w:val="auto"/>
        </w:rPr>
        <w:t>unreasonable or otherwise unenforceable with respect to Executive. In this regard, Executive hereby agrees that any judicial authority construing this Release shall be empowered to reform any portion of this Release, and to apply the provisions of this Release and to enforce against Executive the remaining portion of such provisions as the judicial authority determines to be reasonable and enforceable.</w:t>
      </w:r>
    </w:p>
    <w:p>
      <w:pPr>
        <w:spacing w:after="0" w:line="180" w:lineRule="exact"/>
        <w:rPr>
          <w:sz w:val="20"/>
          <w:szCs w:val="20"/>
          <w:color w:val="auto"/>
        </w:rPr>
      </w:pPr>
    </w:p>
    <w:p>
      <w:pPr>
        <w:jc w:val="both"/>
        <w:ind w:left="440" w:hanging="440"/>
        <w:spacing w:after="0" w:line="254" w:lineRule="auto"/>
        <w:tabs>
          <w:tab w:leader="none" w:pos="4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Release may be executed in several counterparts, each of which shall be deemed to be an original but all of which together will constitute one and the same instrument. Delivery of an executed counterpart of a signature page to this Agreement by “.pdf” format or scanned pages shall be effective as delivery of a manually executed counterpart to this Release.</w:t>
      </w:r>
    </w:p>
    <w:p>
      <w:pPr>
        <w:spacing w:after="0" w:line="1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left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66675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3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signed this Release to be effective as of the Effective Date.</w:t>
      </w:r>
    </w:p>
    <w:p>
      <w:pPr>
        <w:spacing w:after="0" w:line="200" w:lineRule="exact"/>
        <w:rPr>
          <w:sz w:val="20"/>
          <w:szCs w:val="20"/>
          <w:color w:val="auto"/>
        </w:rPr>
      </w:pPr>
    </w:p>
    <w:p>
      <w:pPr>
        <w:spacing w:after="0" w:line="227" w:lineRule="exact"/>
        <w:rPr>
          <w:sz w:val="20"/>
          <w:szCs w:val="20"/>
          <w:color w:val="auto"/>
        </w:rPr>
      </w:pPr>
    </w:p>
    <w:tbl>
      <w:tblPr>
        <w:tblLayout w:type="fixed"/>
        <w:tblInd w:w="4760" w:type="dxa"/>
        <w:tblCellMar>
          <w:top w:w="0" w:type="dxa"/>
          <w:left w:w="0" w:type="dxa"/>
          <w:bottom w:w="0" w:type="dxa"/>
          <w:right w:w="0" w:type="dxa"/>
        </w:tblCellMar>
      </w:tblP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OOMA, INC.</w:t>
            </w:r>
          </w:p>
        </w:tc>
        <w:tc>
          <w:tcPr>
            <w:tcW w:w="3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4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Eric B. Stang</w:t>
            </w:r>
          </w:p>
        </w:tc>
      </w:tr>
      <w:tr>
        <w:trPr>
          <w:trHeight w:val="237"/>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60" w:type="dxa"/>
            <w:vAlign w:val="bottom"/>
          </w:tcPr>
          <w:p>
            <w:pPr>
              <w:spacing w:after="0"/>
              <w:rPr>
                <w:sz w:val="20"/>
                <w:szCs w:val="20"/>
                <w:color w:val="auto"/>
              </w:rPr>
            </w:pPr>
          </w:p>
        </w:tc>
        <w:tc>
          <w:tcPr>
            <w:tcW w:w="434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Eric B. Stang</w:t>
            </w:r>
          </w:p>
        </w:tc>
      </w:tr>
      <w:tr>
        <w:trPr>
          <w:trHeight w:val="237"/>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60" w:type="dxa"/>
            <w:vAlign w:val="bottom"/>
          </w:tcPr>
          <w:p>
            <w:pPr>
              <w:spacing w:after="0"/>
              <w:rPr>
                <w:sz w:val="20"/>
                <w:szCs w:val="20"/>
                <w:color w:val="auto"/>
              </w:rPr>
            </w:pPr>
          </w:p>
        </w:tc>
        <w:tc>
          <w:tcPr>
            <w:tcW w:w="434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CEO</w:t>
            </w:r>
          </w:p>
        </w:tc>
      </w:tr>
      <w:tr>
        <w:trPr>
          <w:trHeight w:val="237"/>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Date:</w:t>
            </w:r>
          </w:p>
        </w:tc>
        <w:tc>
          <w:tcPr>
            <w:tcW w:w="360" w:type="dxa"/>
            <w:vAlign w:val="bottom"/>
          </w:tcPr>
          <w:p>
            <w:pPr>
              <w:spacing w:after="0"/>
              <w:rPr>
                <w:sz w:val="20"/>
                <w:szCs w:val="20"/>
                <w:color w:val="auto"/>
              </w:rPr>
            </w:pPr>
          </w:p>
        </w:tc>
        <w:tc>
          <w:tcPr>
            <w:tcW w:w="434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June 15, 2021</w:t>
            </w:r>
          </w:p>
        </w:tc>
      </w:tr>
      <w:tr>
        <w:trPr>
          <w:trHeight w:val="680"/>
        </w:trPr>
        <w:tc>
          <w:tcPr>
            <w:tcW w:w="1340" w:type="dxa"/>
            <w:vAlign w:val="bottom"/>
          </w:tcPr>
          <w:p>
            <w:pPr>
              <w:spacing w:after="0"/>
              <w:rPr>
                <w:sz w:val="24"/>
                <w:szCs w:val="24"/>
                <w:color w:val="auto"/>
              </w:rPr>
            </w:pPr>
          </w:p>
        </w:tc>
        <w:tc>
          <w:tcPr>
            <w:tcW w:w="47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EXECUTIVE:</w:t>
            </w:r>
          </w:p>
        </w:tc>
      </w:tr>
      <w:tr>
        <w:trPr>
          <w:trHeight w:val="66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Ravi Narula</w:t>
            </w:r>
          </w:p>
        </w:tc>
      </w:tr>
      <w:tr>
        <w:trPr>
          <w:trHeight w:val="237"/>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Print Name:</w:t>
            </w:r>
          </w:p>
        </w:tc>
        <w:tc>
          <w:tcPr>
            <w:tcW w:w="360" w:type="dxa"/>
            <w:vAlign w:val="bottom"/>
          </w:tcPr>
          <w:p>
            <w:pPr>
              <w:spacing w:after="0"/>
              <w:rPr>
                <w:sz w:val="20"/>
                <w:szCs w:val="20"/>
                <w:color w:val="auto"/>
              </w:rPr>
            </w:pPr>
          </w:p>
        </w:tc>
        <w:tc>
          <w:tcPr>
            <w:tcW w:w="434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Ravi Narula</w:t>
            </w:r>
          </w:p>
        </w:tc>
      </w:tr>
      <w:tr>
        <w:trPr>
          <w:trHeight w:val="236"/>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Date:</w:t>
            </w:r>
          </w:p>
        </w:tc>
        <w:tc>
          <w:tcPr>
            <w:tcW w:w="360" w:type="dxa"/>
            <w:vAlign w:val="bottom"/>
          </w:tcPr>
          <w:p>
            <w:pPr>
              <w:spacing w:after="0"/>
              <w:rPr>
                <w:sz w:val="20"/>
                <w:szCs w:val="20"/>
                <w:color w:val="auto"/>
              </w:rPr>
            </w:pPr>
          </w:p>
        </w:tc>
        <w:tc>
          <w:tcPr>
            <w:tcW w:w="434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June 15, 2021</w:t>
            </w:r>
          </w:p>
        </w:tc>
      </w:tr>
    </w:tbl>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320" w:top="329" w:right="77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7F7F7F"/>
        </w:rPr>
        <w:t>Exhibit 10.13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CONSULTING CONSIDERATION</w:t>
      </w:r>
    </w:p>
    <w:p>
      <w:pPr>
        <w:spacing w:after="0" w:line="200" w:lineRule="exact"/>
        <w:rPr>
          <w:sz w:val="20"/>
          <w:szCs w:val="20"/>
          <w:color w:val="auto"/>
        </w:rPr>
      </w:pPr>
    </w:p>
    <w:p>
      <w:pPr>
        <w:spacing w:after="0" w:line="23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Company acknowledges that the Executive’s transition from an employee to consultant pursuant to this Agreement will not result in any interruption in the Executive’s being continuously a Service Provider within the meaning of the Company’s 2015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forms of agreement thereunder during the term of the Consulting Period. The Consultant’s performance of the Services in accordance with the terms of this Agreement shall qualify Consultant as a Service Provider, and each of the Consultant’s unvested Options and RSUs will continue to vest according to its applicable Vesting Schedule until the expiration of the Consulting Period, except if the Consulting Period is terminated pursuant to Section 8 of the Agreement. Upon expiration of the Consulting Period, (i) the Consultant’s status as a Service Provider will end, and (ii) the Term/Expiration Date of all of the Consultant’s vested but unexercised Options will be extended to June 15, 2022. For the avoidance of doubt, in no event may any of the Consultant’s Options be exercised after June 15, 2022 as provided above and may be subject to earlier termination as provided in Section 13 of the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in the Exhibit B and not otherwise defined have the meanings given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7F7F7F"/>
        </w:rPr>
        <w:t>Exhibit 10.13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ALLOWABLE EXPENSES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7F7F7F"/>
        </w:rPr>
        <w:t>Exhibit 10.13</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CONFIDENTIAL INFORMATION AND</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INVENTION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723265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03" w:name="page104"/>
    <w:bookmarkEnd w:id="103"/>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LIST OF COMPANIES</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EXCLUDED UNDER SECTION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 No conflicts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 Additional Sheets Attached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of Consultant: </w:t>
      </w:r>
      <w:r>
        <w:rPr>
          <w:rFonts w:ascii="Times New Roman" w:cs="Times New Roman" w:eastAsia="Times New Roman" w:hAnsi="Times New Roman"/>
          <w:sz w:val="20"/>
          <w:szCs w:val="20"/>
          <w:u w:val="single" w:color="auto"/>
          <w:color w:val="auto"/>
        </w:rPr>
        <w:t>/s/ Ravi Narula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Print Name of Consultant: </w:t>
      </w:r>
      <w:r>
        <w:rPr>
          <w:rFonts w:ascii="Times New Roman" w:cs="Times New Roman" w:eastAsia="Times New Roman" w:hAnsi="Times New Roman"/>
          <w:sz w:val="20"/>
          <w:szCs w:val="20"/>
          <w:u w:val="single" w:color="auto"/>
          <w:color w:val="auto"/>
        </w:rPr>
        <w:t>Ravi Narula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June 15, 2021</w:t>
      </w:r>
    </w:p>
    <w:p>
      <w:pPr>
        <w:sectPr>
          <w:pgSz w:w="11900" w:h="16838" w:orient="portrait"/>
          <w:cols w:equalWidth="0" w:num="1">
            <w:col w:w="10139"/>
          </w:cols>
          <w:pgMar w:left="320" w:top="572"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380" w:type="dxa"/>
            <w:vAlign w:val="bottom"/>
            <w:gridSpan w:val="2"/>
          </w:tcPr>
          <w:p>
            <w:pPr>
              <w:ind w:left="900"/>
              <w:spacing w:after="0"/>
              <w:rPr>
                <w:sz w:val="20"/>
                <w:szCs w:val="20"/>
                <w:color w:val="auto"/>
              </w:rPr>
            </w:pPr>
            <w:r>
              <w:rPr>
                <w:rFonts w:ascii="Arial" w:cs="Arial" w:eastAsia="Arial" w:hAnsi="Arial"/>
                <w:sz w:val="18"/>
                <w:szCs w:val="18"/>
                <w:b w:val="1"/>
                <w:bCs w:val="1"/>
                <w:color w:val="auto"/>
              </w:rPr>
              <w:t>List of Subsidiaries</w:t>
            </w:r>
          </w:p>
        </w:tc>
      </w:tr>
      <w:tr>
        <w:trPr>
          <w:trHeight w:val="39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w w:val="98"/>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r>
      <w:tr>
        <w:trPr>
          <w:trHeight w:val="511"/>
        </w:trPr>
        <w:tc>
          <w:tcPr>
            <w:tcW w:w="3800" w:type="dxa"/>
            <w:vAlign w:val="bottom"/>
            <w:gridSpan w:val="2"/>
          </w:tcPr>
          <w:p>
            <w:pPr>
              <w:spacing w:after="0"/>
              <w:rPr>
                <w:sz w:val="20"/>
                <w:szCs w:val="20"/>
                <w:color w:val="auto"/>
              </w:rPr>
            </w:pPr>
            <w:r>
              <w:rPr>
                <w:rFonts w:ascii="Arial" w:cs="Arial" w:eastAsia="Arial" w:hAnsi="Arial"/>
                <w:sz w:val="18"/>
                <w:szCs w:val="18"/>
                <w:color w:val="auto"/>
              </w:rPr>
              <w:t>Talkatone, LLC</w:t>
            </w:r>
          </w:p>
        </w:tc>
        <w:tc>
          <w:tcPr>
            <w:tcW w:w="19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Ooma International Operations, LLC</w:t>
            </w:r>
          </w:p>
        </w:tc>
        <w:tc>
          <w:tcPr>
            <w:tcW w:w="19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Ooma International Ltd.</w:t>
            </w:r>
          </w:p>
        </w:tc>
        <w:tc>
          <w:tcPr>
            <w:tcW w:w="19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Ooma Australia Pty Ltd.</w:t>
            </w:r>
          </w:p>
        </w:tc>
        <w:tc>
          <w:tcPr>
            <w:tcW w:w="19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Australia</w:t>
            </w:r>
          </w:p>
        </w:tc>
      </w:tr>
      <w:tr>
        <w:trPr>
          <w:trHeight w:val="234"/>
        </w:trPr>
        <w:tc>
          <w:tcPr>
            <w:tcW w:w="3800" w:type="dxa"/>
            <w:vAlign w:val="bottom"/>
            <w:gridSpan w:val="2"/>
          </w:tcPr>
          <w:p>
            <w:pPr>
              <w:spacing w:after="0"/>
              <w:rPr>
                <w:sz w:val="20"/>
                <w:szCs w:val="20"/>
                <w:color w:val="auto"/>
              </w:rPr>
            </w:pPr>
            <w:r>
              <w:rPr>
                <w:rFonts w:ascii="Arial" w:cs="Arial" w:eastAsia="Arial" w:hAnsi="Arial"/>
                <w:sz w:val="18"/>
                <w:szCs w:val="18"/>
                <w:color w:val="auto"/>
              </w:rPr>
              <w:t>Voxter Communications, Inc.</w:t>
            </w:r>
          </w:p>
        </w:tc>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Broadsmart Global, Inc.</w:t>
            </w:r>
          </w:p>
        </w:tc>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Florida</w:t>
            </w:r>
          </w:p>
        </w:tc>
      </w:tr>
      <w:tr>
        <w:trPr>
          <w:trHeight w:val="234"/>
        </w:trPr>
        <w:tc>
          <w:tcPr>
            <w:tcW w:w="3800" w:type="dxa"/>
            <w:vAlign w:val="bottom"/>
            <w:gridSpan w:val="2"/>
          </w:tcPr>
          <w:p>
            <w:pPr>
              <w:spacing w:after="0"/>
              <w:rPr>
                <w:sz w:val="20"/>
                <w:szCs w:val="20"/>
                <w:color w:val="auto"/>
              </w:rPr>
            </w:pPr>
            <w:r>
              <w:rPr>
                <w:rFonts w:ascii="Arial" w:cs="Arial" w:eastAsia="Arial" w:hAnsi="Arial"/>
                <w:sz w:val="18"/>
                <w:szCs w:val="18"/>
                <w:color w:val="auto"/>
              </w:rPr>
              <w:t>Ooma Canada, Inc.</w:t>
            </w:r>
          </w:p>
        </w:tc>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239"/>
        </w:trPr>
        <w:tc>
          <w:tcPr>
            <w:tcW w:w="3800" w:type="dxa"/>
            <w:vAlign w:val="bottom"/>
            <w:gridSpan w:val="2"/>
          </w:tcPr>
          <w:p>
            <w:pPr>
              <w:spacing w:after="0"/>
              <w:rPr>
                <w:sz w:val="20"/>
                <w:szCs w:val="20"/>
                <w:color w:val="auto"/>
              </w:rPr>
            </w:pPr>
            <w:r>
              <w:rPr>
                <w:rFonts w:ascii="Arial" w:cs="Arial" w:eastAsia="Arial" w:hAnsi="Arial"/>
                <w:sz w:val="18"/>
                <w:szCs w:val="18"/>
                <w:color w:val="auto"/>
              </w:rPr>
              <w:t>Ooma Ireland Limited</w:t>
            </w:r>
          </w:p>
        </w:tc>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Ireland</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Oomazing Telecom</w:t>
            </w:r>
          </w:p>
        </w:tc>
        <w:tc>
          <w:tcPr>
            <w:tcW w:w="194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Ooma Columbia S.A.S.</w:t>
            </w:r>
          </w:p>
        </w:tc>
        <w:tc>
          <w:tcPr>
            <w:tcW w:w="194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Columbia</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Ooma Peru S.A.C.</w:t>
            </w:r>
          </w:p>
        </w:tc>
        <w:tc>
          <w:tcPr>
            <w:tcW w:w="194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Peru</w:t>
            </w:r>
          </w:p>
        </w:tc>
      </w:tr>
    </w:tbl>
    <w:p>
      <w:pPr>
        <w:sectPr>
          <w:pgSz w:w="11900" w:h="16838" w:orient="portrait"/>
          <w:cols w:equalWidth="0" w:num="1">
            <w:col w:w="11140"/>
          </w:cols>
          <w:pgMar w:left="420" w:top="35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 (No. 333-235673) on Form S-3, and in registration statements (Nos. 333-255093, 333-237662, 333-230693, 333-224086, 333-217254, 333-210717, 333-205719) on Form S-8, of our report dated April 8, 2022, with respect to the consolidated financial statements of Ooma, Inc. and the effectiveness of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8, 2022</w:t>
      </w:r>
    </w:p>
    <w:p>
      <w:pPr>
        <w:sectPr>
          <w:pgSz w:w="11900" w:h="16838" w:orient="portrait"/>
          <w:cols w:equalWidth="0" w:num="1">
            <w:col w:w="11240"/>
          </w:cols>
          <w:pgMar w:left="320" w:top="33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Nos. 333-237662, 333-230693, 333-224086, 333-217254, 333-210717, 333-205719, and 333-255093 on Form S-8 of our report dated April 7, 2021 (April 8, 2022 as to the effects of the restatement discussed in note 10), relating to the consolidated financial statements of Ooma, Inc. and its subsidiaries appearing in this Annual Report on Form 10-K for the year ended January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8, 2022</w:t>
      </w:r>
    </w:p>
    <w:p>
      <w:pPr>
        <w:sectPr>
          <w:pgSz w:w="11900" w:h="16838" w:orient="portrait"/>
          <w:cols w:equalWidth="0" w:num="1">
            <w:col w:w="11240"/>
          </w:cols>
          <w:pgMar w:left="320" w:top="33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 Eric B. Stang, certify that:</w:t>
      </w:r>
    </w:p>
    <w:p>
      <w:pPr>
        <w:spacing w:after="0" w:line="320"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Ooma, Inc. for the fiscal year ended January 31, 2022;</w:t>
      </w:r>
    </w:p>
    <w:p>
      <w:pPr>
        <w:spacing w:after="0" w:line="103" w:lineRule="exact"/>
        <w:rPr>
          <w:rFonts w:ascii="Arial" w:cs="Arial" w:eastAsia="Arial" w:hAnsi="Arial"/>
          <w:sz w:val="18"/>
          <w:szCs w:val="18"/>
          <w:color w:val="auto"/>
        </w:rPr>
      </w:pPr>
    </w:p>
    <w:p>
      <w:pPr>
        <w:jc w:val="both"/>
        <w:ind w:left="260" w:hanging="252"/>
        <w:spacing w:after="0" w:line="253"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260" w:hanging="252"/>
        <w:spacing w:after="0" w:line="271"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8"/>
          <w:szCs w:val="18"/>
          <w:color w:val="auto"/>
        </w:rPr>
      </w:pPr>
    </w:p>
    <w:p>
      <w:pPr>
        <w:jc w:val="both"/>
        <w:ind w:left="260" w:hanging="252"/>
        <w:spacing w:after="0" w:line="245"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2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0" w:lineRule="exact"/>
        <w:rPr>
          <w:rFonts w:ascii="Arial" w:cs="Arial" w:eastAsia="Arial" w:hAnsi="Arial"/>
          <w:sz w:val="18"/>
          <w:szCs w:val="18"/>
          <w:color w:val="auto"/>
        </w:rPr>
      </w:pPr>
    </w:p>
    <w:p>
      <w:pPr>
        <w:jc w:val="both"/>
        <w:ind w:left="260" w:hanging="252"/>
        <w:spacing w:after="0" w:line="253"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740" w:hanging="476"/>
        <w:spacing w:after="0" w:line="271"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8"/>
          <w:szCs w:val="18"/>
          <w:color w:val="auto"/>
        </w:rPr>
      </w:pPr>
    </w:p>
    <w:p>
      <w:pPr>
        <w:ind w:left="740" w:right="20" w:hanging="476"/>
        <w:spacing w:after="0" w:line="271"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6740" w:val="left"/>
          <w:tab w:leader="none" w:pos="8560" w:val="left"/>
        </w:tabs>
        <w:rPr>
          <w:sz w:val="20"/>
          <w:szCs w:val="20"/>
          <w:color w:val="auto"/>
        </w:rPr>
      </w:pPr>
      <w:r>
        <w:rPr>
          <w:rFonts w:ascii="Arial" w:cs="Arial" w:eastAsia="Arial" w:hAnsi="Arial"/>
          <w:sz w:val="18"/>
          <w:szCs w:val="18"/>
          <w:color w:val="auto"/>
        </w:rPr>
        <w:t>Date: April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 B.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Eric B. Stang</w:t>
      </w:r>
    </w:p>
    <w:p>
      <w:pPr>
        <w:spacing w:after="0" w:line="18"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 Shig Hamamatsu, certify that:</w:t>
      </w:r>
    </w:p>
    <w:p>
      <w:pPr>
        <w:spacing w:after="0" w:line="320"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Ooma, Inc. for the fiscal year ended January 31, 2022;</w:t>
      </w:r>
    </w:p>
    <w:p>
      <w:pPr>
        <w:spacing w:after="0" w:line="103" w:lineRule="exact"/>
        <w:rPr>
          <w:rFonts w:ascii="Arial" w:cs="Arial" w:eastAsia="Arial" w:hAnsi="Arial"/>
          <w:sz w:val="18"/>
          <w:szCs w:val="18"/>
          <w:color w:val="auto"/>
        </w:rPr>
      </w:pPr>
    </w:p>
    <w:p>
      <w:pPr>
        <w:jc w:val="both"/>
        <w:ind w:left="260" w:hanging="252"/>
        <w:spacing w:after="0" w:line="253"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260" w:hanging="252"/>
        <w:spacing w:after="0" w:line="271"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8"/>
          <w:szCs w:val="18"/>
          <w:color w:val="auto"/>
        </w:rPr>
      </w:pPr>
    </w:p>
    <w:p>
      <w:pPr>
        <w:jc w:val="both"/>
        <w:ind w:left="260" w:hanging="252"/>
        <w:spacing w:after="0" w:line="245"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2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740" w:hanging="476"/>
        <w:spacing w:after="0" w:line="253" w:lineRule="auto"/>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0" w:lineRule="exact"/>
        <w:rPr>
          <w:rFonts w:ascii="Arial" w:cs="Arial" w:eastAsia="Arial" w:hAnsi="Arial"/>
          <w:sz w:val="18"/>
          <w:szCs w:val="18"/>
          <w:color w:val="auto"/>
        </w:rPr>
      </w:pPr>
    </w:p>
    <w:p>
      <w:pPr>
        <w:jc w:val="both"/>
        <w:ind w:left="260" w:hanging="252"/>
        <w:spacing w:after="0" w:line="253"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740" w:hanging="476"/>
        <w:spacing w:after="0" w:line="271" w:lineRule="auto"/>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8"/>
          <w:szCs w:val="18"/>
          <w:color w:val="auto"/>
        </w:rPr>
      </w:pPr>
    </w:p>
    <w:p>
      <w:pPr>
        <w:ind w:left="740" w:right="20" w:hanging="476"/>
        <w:spacing w:after="0" w:line="271" w:lineRule="auto"/>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6740" w:val="left"/>
          <w:tab w:leader="none" w:pos="8400" w:val="left"/>
        </w:tabs>
        <w:rPr>
          <w:sz w:val="20"/>
          <w:szCs w:val="20"/>
          <w:color w:val="auto"/>
        </w:rPr>
      </w:pPr>
      <w:r>
        <w:rPr>
          <w:rFonts w:ascii="Arial" w:cs="Arial" w:eastAsia="Arial" w:hAnsi="Arial"/>
          <w:sz w:val="18"/>
          <w:szCs w:val="18"/>
          <w:color w:val="auto"/>
        </w:rPr>
        <w:t>Date: April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Shig Hamamatsu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Shig Hamamatsu</w:t>
      </w:r>
    </w:p>
    <w:p>
      <w:pPr>
        <w:jc w:val="center"/>
        <w:ind w:left="7180"/>
        <w:spacing w:after="0"/>
        <w:rPr>
          <w:sz w:val="20"/>
          <w:szCs w:val="20"/>
          <w:color w:val="auto"/>
        </w:rPr>
      </w:pPr>
      <w:r>
        <w:rPr>
          <w:rFonts w:ascii="Arial" w:cs="Arial" w:eastAsia="Arial" w:hAnsi="Arial"/>
          <w:sz w:val="18"/>
          <w:szCs w:val="18"/>
          <w:color w:val="auto"/>
        </w:rPr>
        <w:t>Chief Financial Officer and Treasurer</w:t>
      </w:r>
    </w:p>
    <w:p>
      <w:pPr>
        <w:jc w:val="center"/>
        <w:ind w:left="7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5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ind w:left="3280"/>
        <w:spacing w:after="0" w:line="23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 Eric B. Stang, certify pursuant to Rule 13a-14(b) of the Securities Exchange Act of 1934, as amended, (the “Exchange Act”) and Section 1350 of Chapter 63 of Title 18 of the United States Code (18 U.S.C. §1350), as adopted pursuant to §906 of the Sarbanes-Oxley Act of 2002, that the Annual Report on Form 10-K of Ooma, Inc. for the fiscal year ended January 31, 2022, fully complies with the requirements of Section 13(a) or 15(d) of the Exchange Act and that the information contained in such Annual Report on Form 10-K fairly presents, in all material respects, the financial condition and result of operations of Ooma,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720" w:val="left"/>
          <w:tab w:leader="none" w:pos="8500" w:val="left"/>
        </w:tabs>
        <w:rPr>
          <w:sz w:val="20"/>
          <w:szCs w:val="20"/>
          <w:color w:val="auto"/>
        </w:rPr>
      </w:pPr>
      <w:r>
        <w:rPr>
          <w:rFonts w:ascii="Arial" w:cs="Arial" w:eastAsia="Arial" w:hAnsi="Arial"/>
          <w:sz w:val="18"/>
          <w:szCs w:val="18"/>
          <w:color w:val="auto"/>
        </w:rPr>
        <w:t>Date: April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B.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8890</wp:posOffset>
            </wp:positionV>
            <wp:extent cx="26231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Eric B. Stang</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ind w:left="3280"/>
        <w:spacing w:after="0" w:line="23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 Shig Hamamatsu, certify pursuant to Rule 13a-14(b) of the Securities Exchange Act of 1934, as amended, (the “Exchange Act”) and Section 1350 of Chapter 63 of Title 18 of the United States Code (18 U.S.C. §1350), as adopted pursuant to § 906 of the Sarbanes-Oxley Act of 2002, that the Annual Report on Form 10-K of Ooma, Inc. for the fiscal year ended January 31, 2022, fully complies with the requirements of Section 13(a) or 15(d) of the Exchange Act and that the information contained in such Annual Report on Form 10-K fairly presents, in all material respects, the financial condition and result of operations of Ooma,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720" w:val="left"/>
          <w:tab w:leader="none" w:pos="8340" w:val="left"/>
        </w:tabs>
        <w:rPr>
          <w:sz w:val="20"/>
          <w:szCs w:val="20"/>
          <w:color w:val="auto"/>
        </w:rPr>
      </w:pPr>
      <w:r>
        <w:rPr>
          <w:rFonts w:ascii="Arial" w:cs="Arial" w:eastAsia="Arial" w:hAnsi="Arial"/>
          <w:sz w:val="18"/>
          <w:szCs w:val="18"/>
          <w:color w:val="auto"/>
        </w:rPr>
        <w:t>Date: April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Shig Hamamatsu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8890</wp:posOffset>
            </wp:positionV>
            <wp:extent cx="26231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Shig Hamamatsu</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 and Treasurer</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lowerRoman"/>
      <w:start w:val="1"/>
    </w:lvl>
    <w:lvl w:ilvl="1">
      <w:lvlJc w:val="left"/>
      <w:lvlText w:val="▪"/>
      <w:numFmt w:val="bullet"/>
      <w:start w:val="1"/>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3"/>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8"/>
    </w:lvl>
    <w:lvl w:ilvl="1">
      <w:lvlJc w:val="left"/>
      <w:lvlText w:val="(%2)"/>
      <w:numFmt w:val="lowerLetter"/>
      <w:start w:val="1"/>
    </w:lvl>
  </w:abstractNum>
  <w:abstractNum w:abstractNumId="30">
    <w:nsid w:val="5577F8E1"/>
    <w:multiLevelType w:val="hybridMultilevel"/>
    <w:lvl w:ilvl="0">
      <w:lvlJc w:val="left"/>
      <w:lvlText w:val="%1."/>
      <w:numFmt w:val="decimal"/>
      <w:start w:val="13"/>
    </w:lvl>
    <w:lvl w:ilvl="1">
      <w:lvlJc w:val="left"/>
      <w:lvlText w:val="(%2)"/>
      <w:numFmt w:val="lowerLetter"/>
      <w:start w:val="1"/>
    </w:lvl>
  </w:abstractNum>
  <w:abstractNum w:abstractNumId="31">
    <w:nsid w:val="440BADFC"/>
    <w:multiLevelType w:val="hybridMultilevel"/>
    <w:lvl w:ilvl="0">
      <w:lvlJc w:val="left"/>
      <w:lvlText w:val="(%1)"/>
      <w:numFmt w:val="lowerLetter"/>
      <w:start w:val="6"/>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2"/>
    </w:lvl>
  </w:abstractNum>
  <w:abstractNum w:abstractNumId="34">
    <w:nsid w:val="77465F01"/>
    <w:multiLevelType w:val="hybridMultilevel"/>
    <w:lvl w:ilvl="0">
      <w:lvlJc w:val="left"/>
      <w:lvlText w:val="%1."/>
      <w:numFmt w:val="decimal"/>
      <w:start w:val="4"/>
    </w:lvl>
  </w:abstractNum>
  <w:abstractNum w:abstractNumId="35">
    <w:nsid w:val="7724C67E"/>
    <w:multiLevelType w:val="hybridMultilevel"/>
    <w:lvl w:ilvl="0">
      <w:lvlJc w:val="left"/>
      <w:lvlText w:val="%1."/>
      <w:numFmt w:val="decimal"/>
      <w:start w:val="10"/>
    </w:lvl>
  </w:abstractNum>
  <w:abstractNum w:abstractNumId="36">
    <w:nsid w:val="5C482A97"/>
    <w:multiLevelType w:val="hybridMultilevel"/>
    <w:lvl w:ilvl="0">
      <w:lvlJc w:val="left"/>
      <w:lvlText w:val="%1."/>
      <w:numFmt w:val="decimal"/>
      <w:start w:val="1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24" Type="http://schemas.openxmlformats.org/officeDocument/2006/relationships/hyperlink" Target="http://www.sec.gov/Archives/edgar/data/1327688/000156459015007936/ooma-ex31_393.htm" TargetMode="External"/><Relationship Id="rId125" Type="http://schemas.openxmlformats.org/officeDocument/2006/relationships/hyperlink" Target="http://www.sec.gov/Archives/edgar/data/1327688/000156459015007936/ooma-ex32_394.htm" TargetMode="External"/><Relationship Id="rId126" Type="http://schemas.openxmlformats.org/officeDocument/2006/relationships/hyperlink" Target="http://www.sec.gov/Archives/edgar/data/1327688/000119312515245564/d859236dex41.htm" TargetMode="External"/><Relationship Id="rId127" Type="http://schemas.openxmlformats.org/officeDocument/2006/relationships/hyperlink" Target="http://www.sec.gov/Archives/edgar/data/0001327688/000119312519321218/d846663dex42.htm" TargetMode="External"/><Relationship Id="rId128" Type="http://schemas.openxmlformats.org/officeDocument/2006/relationships/hyperlink" Target="http://www.sec.gov/Archives/edgar/data/0001327688/000119312519321218/d846663dex44.htm" TargetMode="External"/><Relationship Id="rId129" Type="http://schemas.openxmlformats.org/officeDocument/2006/relationships/hyperlink" Target="http://www.sec.gov/Archives/edgar/data/1327688/000156459020016484/ooma-ex45_366.htm" TargetMode="External"/><Relationship Id="rId130" Type="http://schemas.openxmlformats.org/officeDocument/2006/relationships/hyperlink" Target="http://www.sec.gov/Archives/edgar/data/1327688/000119312515223495/d859236dex101.htm" TargetMode="External"/><Relationship Id="rId131" Type="http://schemas.openxmlformats.org/officeDocument/2006/relationships/hyperlink" Target="http://www.sec.gov/Archives/edgar/data/1327688/000119312515245564/d859236dex102.htm" TargetMode="External"/><Relationship Id="rId132" Type="http://schemas.openxmlformats.org/officeDocument/2006/relationships/hyperlink" Target="http://www.sec.gov/Archives/edgar/data/1327688/000119312515245564/d859236dex103.htm" TargetMode="External"/><Relationship Id="rId133" Type="http://schemas.openxmlformats.org/officeDocument/2006/relationships/hyperlink" Target="http://www.sec.gov/Archives/edgar/data/1327688/000119312515223495/d859236dex104.htm" TargetMode="External"/><Relationship Id="rId134" Type="http://schemas.openxmlformats.org/officeDocument/2006/relationships/hyperlink" Target="http://www.sec.gov/Archives/edgar/data/1327688/000119312515223495/d859236dex105.htm" TargetMode="External"/><Relationship Id="rId135" Type="http://schemas.openxmlformats.org/officeDocument/2006/relationships/hyperlink" Target="http://www.sec.gov/Archives/edgar/data/1327688/000119312515223495/d859236dex107.htm" TargetMode="External"/><Relationship Id="rId136" Type="http://schemas.openxmlformats.org/officeDocument/2006/relationships/hyperlink" Target="http://www.sec.gov/Archives/edgar/data/1327688/000156459017006395/ooma-ex108_626.htm" TargetMode="External"/><Relationship Id="rId137" Type="http://schemas.openxmlformats.org/officeDocument/2006/relationships/hyperlink" Target="http://www.sec.gov/Archives/edgar/data/1327688/000119312515223495/d859236dex108.htm" TargetMode="External"/><Relationship Id="rId138" Type="http://schemas.openxmlformats.org/officeDocument/2006/relationships/hyperlink" Target="http://www.sec.gov/Archives/edgar/data/1327688/000156459018015322/ooma-ex101_142.htm" TargetMode="External"/><Relationship Id="rId139" Type="http://schemas.openxmlformats.org/officeDocument/2006/relationships/hyperlink" Target="http://www.sec.gov/Archives/edgar/data/0001327688/000156459019045480/ooma-ex101_150.htm" TargetMode="External"/><Relationship Id="rId140" Type="http://schemas.openxmlformats.org/officeDocument/2006/relationships/hyperlink" Target="http://www.sec.gov/Archives/edgar/data/1327688/000156459021018013/ooma-ex1012_358.htm" TargetMode="External"/><Relationship Id="rId141" Type="http://schemas.openxmlformats.org/officeDocument/2006/relationships/hyperlink" Target="http://www.sec.gov/Archives/edgar/data/1327688/000156459021032167/ooma-ex1013_202.htm" TargetMode="External"/><Relationship Id="rId144" Type="http://schemas.openxmlformats.org/officeDocument/2006/relationships/hyperlink" Target="http://www.sec.gov/Archives/edgar/data/1327688/000156459021059757/ooma-ex1014_187.htm" TargetMode="External"/><Relationship Id="rId145" Type="http://schemas.openxmlformats.org/officeDocument/2006/relationships/hyperlink" Target="http://www.sec.gov/Archives/edgar/data/1327688/000156459021059757/ooma-ex1015_185.htm" TargetMode="External"/><Relationship Id="rId146" Type="http://schemas.openxmlformats.org/officeDocument/2006/relationships/hyperlink" Target="http://www.sec.gov/Archives/edgar/data/1327688/000156459021059757/ooma-ex1016_186.htm" TargetMode="External"/><Relationship Id="rId147" Type="http://schemas.openxmlformats.org/officeDocument/2006/relationships/hyperlink" Target="http://www.sec.gov/Archives/edgar/data/1327688/000156459021059757/ooma-ex1017_184.htm" TargetMode="External"/><Relationship Id="rId148" Type="http://schemas.openxmlformats.org/officeDocument/2006/relationships/hyperlink" Target="http://www.sec.gov/Archives/edgar/data/1327688/000156459021059757/ooma-ex1018_18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2022-04-08T16:07:41Z</dcterms:created>
  <dcterms:modified xsi:type="dcterms:W3CDTF">2022-04-08T16:07:41Z</dcterms:modified>
</cp:coreProperties>
</file>