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Ooma,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001-37493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06-1713274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525 ALMANOR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650 566-6600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OOMA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annual meeting of stockholders of Ooma, Inc. (the "Company") held on June 4, 2026 (the “Annual Meeting”), stockholders holding and entitled to vote 23,448,582 shares of common stock of the Company, or approximately 85.2% of the total outstanding shares of common stock on the record date for the Annual Meeting, which constituted a quorum, were present in person or by proxy. At the Annual Meeting, the stockholders voted on the following three proposals, each of which is described in detail in the Company’s proxy statement filed with the Securities and Exchange Commission on April 15, 2026. The voting results are reported below.</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1: Election of Directors. </w:t>
      </w:r>
      <w:r>
        <w:rPr>
          <w:rFonts w:ascii="Times New Roman" w:cs="Times New Roman" w:eastAsia="Times New Roman" w:hAnsi="Times New Roman"/>
          <w:sz w:val="18"/>
          <w:szCs w:val="18"/>
          <w:color w:val="auto"/>
        </w:rPr>
        <w:t>The following individuals were elected to the Board as Class II directors to hold office until the 2029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or until such director’s successor is duly elected and qualified or until his or her earlier resignation or removal. The results of the election were as follows:</w:t>
      </w:r>
    </w:p>
    <w:p>
      <w:pPr>
        <w:spacing w:after="0" w:line="171" w:lineRule="exact"/>
        <w:rPr>
          <w:sz w:val="20"/>
          <w:szCs w:val="20"/>
          <w:color w:val="auto"/>
        </w:rPr>
      </w:pPr>
    </w:p>
    <w:tbl>
      <w:tblPr>
        <w:tblLayout w:type="fixed"/>
        <w:tblInd w:w="1480" w:type="dxa"/>
        <w:tblCellMar>
          <w:top w:w="0" w:type="dxa"/>
          <w:left w:w="0" w:type="dxa"/>
          <w:bottom w:w="0" w:type="dxa"/>
          <w:right w:w="0" w:type="dxa"/>
        </w:tblCellMar>
      </w:tblPr>
      <w:tr>
        <w:trPr>
          <w:trHeight w:val="238"/>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4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For</w:t>
            </w:r>
          </w:p>
        </w:tc>
        <w:tc>
          <w:tcPr>
            <w:tcW w:w="37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Withheld</w:t>
            </w:r>
          </w:p>
        </w:tc>
      </w:tr>
      <w:tr>
        <w:trPr>
          <w:trHeight w:val="191"/>
        </w:trPr>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Susan G. Butenhoff</w:t>
            </w:r>
          </w:p>
        </w:tc>
        <w:tc>
          <w:tcPr>
            <w:tcW w:w="246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12,259,460</w:t>
            </w:r>
          </w:p>
        </w:tc>
        <w:tc>
          <w:tcPr>
            <w:tcW w:w="3740" w:type="dxa"/>
            <w:vAlign w:val="bottom"/>
          </w:tcPr>
          <w:p>
            <w:pPr>
              <w:ind w:left="940"/>
              <w:spacing w:after="0" w:line="191" w:lineRule="exact"/>
              <w:rPr>
                <w:sz w:val="20"/>
                <w:szCs w:val="20"/>
                <w:color w:val="auto"/>
              </w:rPr>
            </w:pPr>
            <w:r>
              <w:rPr>
                <w:rFonts w:ascii="Times New Roman" w:cs="Times New Roman" w:eastAsia="Times New Roman" w:hAnsi="Times New Roman"/>
                <w:sz w:val="18"/>
                <w:szCs w:val="18"/>
                <w:color w:val="auto"/>
              </w:rPr>
              <w:t>6,022,830</w:t>
            </w: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Russ Mann</w:t>
            </w:r>
          </w:p>
        </w:tc>
        <w:tc>
          <w:tcPr>
            <w:tcW w:w="2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17,355,865</w:t>
            </w: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926,425</w:t>
            </w:r>
          </w:p>
        </w:tc>
      </w:tr>
      <w:tr>
        <w:trPr>
          <w:trHeight w:val="220"/>
        </w:trPr>
        <w:tc>
          <w:tcPr>
            <w:tcW w:w="2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 xml:space="preserve">Broker Non-votes </w:t>
            </w:r>
            <w:r>
              <w:rPr>
                <w:rFonts w:ascii="Times New Roman" w:cs="Times New Roman" w:eastAsia="Times New Roman" w:hAnsi="Times New Roman"/>
                <w:sz w:val="18"/>
                <w:szCs w:val="18"/>
                <w:color w:val="auto"/>
              </w:rPr>
              <w:t>(all Directors)</w:t>
            </w:r>
          </w:p>
        </w:tc>
      </w:tr>
      <w:tr>
        <w:trPr>
          <w:trHeight w:val="234"/>
        </w:trPr>
        <w:tc>
          <w:tcPr>
            <w:tcW w:w="2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5,166,292</w:t>
            </w:r>
          </w:p>
        </w:tc>
      </w:tr>
    </w:tbl>
    <w:p>
      <w:pPr>
        <w:spacing w:after="0" w:line="1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2: Ratification of the Appointment of the Independent Registered Public Accounting Firm. </w:t>
      </w:r>
      <w:r>
        <w:rPr>
          <w:rFonts w:ascii="Times New Roman" w:cs="Times New Roman" w:eastAsia="Times New Roman" w:hAnsi="Times New Roman"/>
          <w:sz w:val="18"/>
          <w:szCs w:val="18"/>
          <w:color w:val="auto"/>
        </w:rPr>
        <w:t>The stockholders ratified the selection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KPMG LLP as the Company’s independent registered public accounting firm for the fiscal year ending January 31, 2027. There were no broker non-votes on this proposal. The results of the ratification were as follows:</w:t>
      </w:r>
    </w:p>
    <w:p>
      <w:pPr>
        <w:spacing w:after="0" w:line="171"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7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9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8"/>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23,265,635</w:t>
            </w:r>
          </w:p>
        </w:tc>
        <w:tc>
          <w:tcPr>
            <w:tcW w:w="27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17,738</w:t>
            </w:r>
          </w:p>
        </w:tc>
        <w:tc>
          <w:tcPr>
            <w:tcW w:w="39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165,209</w:t>
            </w:r>
          </w:p>
        </w:tc>
      </w:tr>
    </w:tbl>
    <w:p>
      <w:pPr>
        <w:spacing w:after="0" w:line="17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3: Non-Binding Advisory Vote on the Compensation of Our Named Executive Officers. </w:t>
      </w:r>
      <w:r>
        <w:rPr>
          <w:rFonts w:ascii="Times New Roman" w:cs="Times New Roman" w:eastAsia="Times New Roman" w:hAnsi="Times New Roman"/>
          <w:sz w:val="18"/>
          <w:szCs w:val="18"/>
          <w:color w:val="auto"/>
        </w:rPr>
        <w:t>The stockholders approved, on an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the Company’s executive compensation for the fiscal year ended January 31, 2026. The voting results were as follows:</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1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17,705,978</w:t>
            </w:r>
          </w:p>
        </w:tc>
        <w:tc>
          <w:tcPr>
            <w:tcW w:w="1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528,798</w:t>
            </w:r>
          </w:p>
        </w:tc>
        <w:tc>
          <w:tcPr>
            <w:tcW w:w="2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47,514</w:t>
            </w:r>
          </w:p>
        </w:tc>
        <w:tc>
          <w:tcPr>
            <w:tcW w:w="2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5,166,292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reported above are final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Ooma,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8, 2026</w:t>
      </w:r>
      <w:r>
        <w:rPr>
          <w:sz w:val="20"/>
          <w:szCs w:val="20"/>
          <w:color w:val="auto"/>
        </w:rPr>
        <w:tab/>
      </w:r>
      <w:r>
        <w:rPr>
          <w:rFonts w:ascii="Times New Roman" w:cs="Times New Roman" w:eastAsia="Times New Roman" w:hAnsi="Times New Roman"/>
          <w:sz w:val="18"/>
          <w:szCs w:val="18"/>
          <w:color w:val="auto"/>
        </w:rPr>
        <w:t>By:</w:t>
        <w:tab/>
        <w:t>/s/ Shig Hamamatsu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Shig Hamamatsu</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2026-06-09T05:06:58Z</dcterms:created>
  <dcterms:modified xsi:type="dcterms:W3CDTF">2026-06-09T05:06:58Z</dcterms:modified>
</cp:coreProperties>
</file>